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Override PartName="/word/theme/themeOverride2.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B92D2A">
      <w:pPr>
        <w:pStyle w:val="4"/>
        <w:tabs>
          <w:tab w:val="left" w:pos="6669"/>
        </w:tabs>
        <w:spacing w:after="0"/>
        <w:ind w:left="198"/>
        <w:rPr>
          <w:rFonts w:hint="eastAsia" w:eastAsia="仿宋_GB2312" w:cs="宋体"/>
          <w:sz w:val="52"/>
          <w:szCs w:val="52"/>
          <w:highlight w:val="none"/>
          <w:lang w:eastAsia="zh-CN"/>
        </w:rPr>
      </w:pPr>
    </w:p>
    <w:p w14:paraId="12DF35E1">
      <w:pPr>
        <w:spacing w:line="600" w:lineRule="exact"/>
        <w:jc w:val="left"/>
        <w:rPr>
          <w:rFonts w:ascii="Arial" w:hAnsi="Arial" w:eastAsia="Symbol"/>
          <w:b/>
          <w:bCs/>
          <w:sz w:val="32"/>
          <w:szCs w:val="32"/>
          <w:highlight w:val="none"/>
        </w:rPr>
      </w:pPr>
    </w:p>
    <w:p w14:paraId="7A1FAA89">
      <w:pPr>
        <w:pStyle w:val="2"/>
        <w:rPr>
          <w:rFonts w:hint="default"/>
          <w:highlight w:val="none"/>
        </w:rPr>
      </w:pPr>
    </w:p>
    <w:p w14:paraId="198C8B88">
      <w:pPr>
        <w:spacing w:line="600" w:lineRule="exact"/>
        <w:jc w:val="center"/>
        <w:rPr>
          <w:rFonts w:ascii="Arial" w:hAnsi="Arial" w:eastAsia="宋体"/>
          <w:b/>
          <w:bCs/>
          <w:sz w:val="32"/>
          <w:szCs w:val="32"/>
          <w:highlight w:val="none"/>
        </w:rPr>
      </w:pPr>
    </w:p>
    <w:p w14:paraId="3EB54D53">
      <w:pPr>
        <w:spacing w:line="600" w:lineRule="exact"/>
        <w:jc w:val="center"/>
        <w:rPr>
          <w:rFonts w:ascii="Arial" w:hAnsi="Arial" w:eastAsia="宋体"/>
          <w:b/>
          <w:bCs/>
          <w:sz w:val="32"/>
          <w:szCs w:val="32"/>
          <w:highlight w:val="none"/>
        </w:rPr>
      </w:pPr>
    </w:p>
    <w:p w14:paraId="66868EA6">
      <w:pPr>
        <w:spacing w:line="600" w:lineRule="exact"/>
        <w:jc w:val="center"/>
        <w:rPr>
          <w:rFonts w:ascii="Arial" w:hAnsi="Arial" w:eastAsia="宋体"/>
          <w:b/>
          <w:bCs/>
          <w:sz w:val="32"/>
          <w:szCs w:val="32"/>
          <w:highlight w:val="none"/>
        </w:rPr>
      </w:pPr>
    </w:p>
    <w:p w14:paraId="2E711A93">
      <w:pPr>
        <w:spacing w:line="600" w:lineRule="exact"/>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乌海市职业技术学校</w:t>
      </w:r>
    </w:p>
    <w:p w14:paraId="5D2CA8C6">
      <w:pPr>
        <w:spacing w:line="600" w:lineRule="exact"/>
        <w:jc w:val="center"/>
        <w:rPr>
          <w:rFonts w:hint="eastAsia" w:ascii="方正小标宋简体" w:hAnsi="方正小标宋简体" w:eastAsia="方正小标宋简体" w:cs="方正小标宋简体"/>
          <w:sz w:val="44"/>
          <w:szCs w:val="44"/>
          <w:highlight w:val="none"/>
          <w:lang w:val="en-US" w:eastAsia="zh-CN"/>
        </w:rPr>
      </w:pPr>
      <w:r>
        <w:rPr>
          <w:rFonts w:hint="eastAsia" w:ascii="方正小标宋简体" w:hAnsi="方正小标宋简体" w:eastAsia="方正小标宋简体" w:cs="方正小标宋简体"/>
          <w:sz w:val="44"/>
          <w:szCs w:val="44"/>
          <w:highlight w:val="none"/>
        </w:rPr>
        <w:t>2026年度预算公开</w:t>
      </w:r>
      <w:r>
        <w:rPr>
          <w:rFonts w:hint="eastAsia" w:ascii="方正小标宋简体" w:hAnsi="方正小标宋简体" w:eastAsia="方正小标宋简体" w:cs="方正小标宋简体"/>
          <w:sz w:val="44"/>
          <w:szCs w:val="44"/>
          <w:highlight w:val="none"/>
          <w:lang w:val="en-US" w:eastAsia="zh-CN"/>
        </w:rPr>
        <w:t>报告</w:t>
      </w:r>
    </w:p>
    <w:p w14:paraId="45D8B626">
      <w:pPr>
        <w:adjustRightInd w:val="0"/>
        <w:snapToGrid w:val="0"/>
        <w:spacing w:line="600" w:lineRule="exact"/>
        <w:ind w:firstLine="640"/>
        <w:rPr>
          <w:rFonts w:ascii="Times New Roman" w:hAnsi="Times New Roman" w:eastAsia="仿宋_GB2312"/>
          <w:sz w:val="32"/>
          <w:szCs w:val="32"/>
          <w:highlight w:val="none"/>
        </w:rPr>
      </w:pPr>
    </w:p>
    <w:p w14:paraId="6D3910F2">
      <w:pPr>
        <w:adjustRightInd w:val="0"/>
        <w:snapToGrid w:val="0"/>
        <w:spacing w:line="600" w:lineRule="exact"/>
        <w:ind w:firstLine="640"/>
        <w:rPr>
          <w:rFonts w:ascii="Times New Roman" w:hAnsi="Times New Roman" w:eastAsia="仿宋_GB2312"/>
          <w:sz w:val="32"/>
          <w:szCs w:val="32"/>
          <w:highlight w:val="none"/>
        </w:rPr>
      </w:pPr>
    </w:p>
    <w:p w14:paraId="47FE0F04">
      <w:pPr>
        <w:adjustRightInd w:val="0"/>
        <w:snapToGrid w:val="0"/>
        <w:spacing w:line="600" w:lineRule="exact"/>
        <w:ind w:firstLine="640"/>
        <w:rPr>
          <w:rFonts w:ascii="Times New Roman" w:hAnsi="Times New Roman" w:eastAsia="仿宋_GB2312"/>
          <w:sz w:val="32"/>
          <w:szCs w:val="32"/>
          <w:highlight w:val="none"/>
        </w:rPr>
      </w:pPr>
    </w:p>
    <w:p w14:paraId="56D2FBF0">
      <w:pPr>
        <w:adjustRightInd w:val="0"/>
        <w:snapToGrid w:val="0"/>
        <w:spacing w:line="600" w:lineRule="exact"/>
        <w:ind w:firstLine="640"/>
        <w:rPr>
          <w:rFonts w:ascii="Times New Roman" w:hAnsi="Times New Roman" w:eastAsia="仿宋_GB2312"/>
          <w:sz w:val="32"/>
          <w:szCs w:val="32"/>
          <w:highlight w:val="none"/>
        </w:rPr>
      </w:pPr>
    </w:p>
    <w:p w14:paraId="07045B7C">
      <w:pPr>
        <w:adjustRightInd w:val="0"/>
        <w:snapToGrid w:val="0"/>
        <w:spacing w:line="600" w:lineRule="exact"/>
        <w:ind w:firstLine="640"/>
        <w:rPr>
          <w:rFonts w:ascii="Times New Roman" w:hAnsi="Times New Roman" w:eastAsia="仿宋_GB2312"/>
          <w:sz w:val="32"/>
          <w:szCs w:val="32"/>
          <w:highlight w:val="none"/>
        </w:rPr>
      </w:pPr>
    </w:p>
    <w:p w14:paraId="1B7A5574">
      <w:pPr>
        <w:adjustRightInd w:val="0"/>
        <w:snapToGrid w:val="0"/>
        <w:spacing w:line="600" w:lineRule="exact"/>
        <w:ind w:firstLine="640"/>
        <w:rPr>
          <w:rFonts w:ascii="Times New Roman" w:hAnsi="Times New Roman" w:eastAsia="仿宋_GB2312"/>
          <w:sz w:val="32"/>
          <w:szCs w:val="32"/>
          <w:highlight w:val="none"/>
        </w:rPr>
      </w:pPr>
    </w:p>
    <w:p w14:paraId="2C69C5AD">
      <w:pPr>
        <w:adjustRightInd w:val="0"/>
        <w:snapToGrid w:val="0"/>
        <w:spacing w:line="600" w:lineRule="exact"/>
        <w:ind w:firstLine="640"/>
        <w:rPr>
          <w:rFonts w:ascii="Times New Roman" w:hAnsi="Times New Roman" w:eastAsia="仿宋_GB2312"/>
          <w:sz w:val="32"/>
          <w:szCs w:val="32"/>
          <w:highlight w:val="none"/>
        </w:rPr>
      </w:pPr>
    </w:p>
    <w:p w14:paraId="4DA22CE8">
      <w:pPr>
        <w:adjustRightInd w:val="0"/>
        <w:snapToGrid w:val="0"/>
        <w:spacing w:line="600" w:lineRule="exact"/>
        <w:ind w:firstLine="640"/>
        <w:rPr>
          <w:rFonts w:ascii="Times New Roman" w:hAnsi="Times New Roman" w:eastAsia="仿宋_GB2312"/>
          <w:sz w:val="32"/>
          <w:szCs w:val="32"/>
          <w:highlight w:val="none"/>
        </w:rPr>
      </w:pPr>
    </w:p>
    <w:p w14:paraId="57275440">
      <w:pPr>
        <w:adjustRightInd w:val="0"/>
        <w:snapToGrid w:val="0"/>
        <w:spacing w:line="600" w:lineRule="exact"/>
        <w:ind w:firstLine="640"/>
        <w:rPr>
          <w:rFonts w:ascii="Times New Roman" w:hAnsi="Times New Roman" w:eastAsia="仿宋_GB2312"/>
          <w:sz w:val="32"/>
          <w:szCs w:val="32"/>
          <w:highlight w:val="none"/>
        </w:rPr>
      </w:pPr>
    </w:p>
    <w:p w14:paraId="122D7A56">
      <w:pPr>
        <w:pStyle w:val="2"/>
        <w:spacing w:after="0" w:line="600" w:lineRule="exact"/>
        <w:ind w:left="0" w:leftChars="0" w:firstLine="0"/>
        <w:jc w:val="center"/>
        <w:rPr>
          <w:rFonts w:hint="default" w:ascii="黑体" w:hAnsi="黑体" w:eastAsia="黑体" w:cs="黑体"/>
          <w:highlight w:val="none"/>
        </w:rPr>
      </w:pPr>
      <w:r>
        <w:rPr>
          <w:rFonts w:ascii="黑体" w:hAnsi="黑体" w:eastAsia="黑体" w:cs="黑体"/>
          <w:sz w:val="32"/>
          <w:szCs w:val="32"/>
          <w:highlight w:val="none"/>
        </w:rPr>
        <w:t>批复时间：</w:t>
      </w:r>
      <w:r>
        <w:rPr>
          <w:rFonts w:hint="eastAsia" w:ascii="黑体" w:hAnsi="黑体" w:eastAsia="黑体" w:cs="黑体"/>
          <w:sz w:val="32"/>
          <w:szCs w:val="32"/>
          <w:highlight w:val="none"/>
          <w:u w:val="single"/>
          <w:lang w:val="en-US" w:eastAsia="zh-CN"/>
        </w:rPr>
        <w:t>2026</w:t>
      </w:r>
      <w:r>
        <w:rPr>
          <w:rFonts w:ascii="黑体" w:hAnsi="黑体" w:eastAsia="黑体" w:cs="黑体"/>
          <w:sz w:val="32"/>
          <w:szCs w:val="32"/>
          <w:highlight w:val="none"/>
          <w:u w:val="single"/>
        </w:rPr>
        <w:t>年</w:t>
      </w:r>
      <w:r>
        <w:rPr>
          <w:rFonts w:hint="eastAsia" w:ascii="黑体" w:hAnsi="黑体" w:eastAsia="黑体" w:cs="黑体"/>
          <w:sz w:val="32"/>
          <w:szCs w:val="32"/>
          <w:highlight w:val="none"/>
          <w:u w:val="single"/>
          <w:lang w:val="en-US" w:eastAsia="zh-CN"/>
        </w:rPr>
        <w:t>2</w:t>
      </w:r>
      <w:r>
        <w:rPr>
          <w:rFonts w:ascii="黑体" w:hAnsi="黑体" w:eastAsia="黑体" w:cs="黑体"/>
          <w:sz w:val="32"/>
          <w:szCs w:val="32"/>
          <w:highlight w:val="none"/>
          <w:u w:val="single"/>
        </w:rPr>
        <w:t>月</w:t>
      </w:r>
      <w:r>
        <w:rPr>
          <w:rFonts w:hint="eastAsia" w:ascii="黑体" w:hAnsi="黑体" w:eastAsia="黑体" w:cs="黑体"/>
          <w:sz w:val="32"/>
          <w:szCs w:val="32"/>
          <w:highlight w:val="none"/>
          <w:u w:val="single"/>
          <w:lang w:val="en-US" w:eastAsia="zh-CN"/>
        </w:rPr>
        <w:t>26</w:t>
      </w:r>
      <w:r>
        <w:rPr>
          <w:rFonts w:ascii="黑体" w:hAnsi="黑体" w:eastAsia="黑体" w:cs="黑体"/>
          <w:sz w:val="32"/>
          <w:szCs w:val="32"/>
          <w:highlight w:val="none"/>
          <w:u w:val="single"/>
        </w:rPr>
        <w:t>日</w:t>
      </w:r>
    </w:p>
    <w:p w14:paraId="1454AECC">
      <w:pPr>
        <w:pStyle w:val="2"/>
        <w:spacing w:after="0" w:line="600" w:lineRule="exact"/>
        <w:ind w:left="0" w:leftChars="0" w:firstLine="0"/>
        <w:jc w:val="center"/>
        <w:rPr>
          <w:rFonts w:hint="default" w:ascii="黑体" w:hAnsi="黑体" w:eastAsia="黑体" w:cs="黑体"/>
          <w:highlight w:val="none"/>
        </w:rPr>
      </w:pPr>
      <w:r>
        <w:rPr>
          <w:rFonts w:ascii="黑体" w:hAnsi="黑体" w:eastAsia="黑体" w:cs="黑体"/>
          <w:sz w:val="32"/>
          <w:szCs w:val="32"/>
          <w:highlight w:val="none"/>
        </w:rPr>
        <w:t>公开时间：</w:t>
      </w:r>
      <w:r>
        <w:rPr>
          <w:rFonts w:hint="eastAsia" w:ascii="黑体" w:hAnsi="黑体" w:eastAsia="黑体" w:cs="黑体"/>
          <w:sz w:val="32"/>
          <w:szCs w:val="32"/>
          <w:highlight w:val="none"/>
          <w:u w:val="single"/>
          <w:lang w:val="en-US" w:eastAsia="zh-CN"/>
        </w:rPr>
        <w:t>2026</w:t>
      </w:r>
      <w:r>
        <w:rPr>
          <w:rFonts w:ascii="黑体" w:hAnsi="黑体" w:eastAsia="黑体" w:cs="黑体"/>
          <w:sz w:val="32"/>
          <w:szCs w:val="32"/>
          <w:highlight w:val="none"/>
          <w:u w:val="single"/>
        </w:rPr>
        <w:t>年</w:t>
      </w:r>
      <w:r>
        <w:rPr>
          <w:rFonts w:hint="eastAsia" w:ascii="黑体" w:hAnsi="黑体" w:eastAsia="黑体" w:cs="黑体"/>
          <w:sz w:val="32"/>
          <w:szCs w:val="32"/>
          <w:highlight w:val="none"/>
          <w:u w:val="single"/>
          <w:lang w:val="en-US" w:eastAsia="zh-CN"/>
        </w:rPr>
        <w:t>3</w:t>
      </w:r>
      <w:r>
        <w:rPr>
          <w:rFonts w:ascii="黑体" w:hAnsi="黑体" w:eastAsia="黑体" w:cs="黑体"/>
          <w:sz w:val="32"/>
          <w:szCs w:val="32"/>
          <w:highlight w:val="none"/>
          <w:u w:val="single"/>
        </w:rPr>
        <w:t>月</w:t>
      </w:r>
      <w:r>
        <w:rPr>
          <w:rFonts w:hint="eastAsia" w:ascii="黑体" w:hAnsi="黑体" w:eastAsia="黑体" w:cs="黑体"/>
          <w:sz w:val="32"/>
          <w:szCs w:val="32"/>
          <w:highlight w:val="none"/>
          <w:u w:val="single"/>
          <w:lang w:val="en-US" w:eastAsia="zh-CN"/>
        </w:rPr>
        <w:t>4</w:t>
      </w:r>
      <w:r>
        <w:rPr>
          <w:rFonts w:ascii="黑体" w:hAnsi="黑体" w:eastAsia="黑体" w:cs="黑体"/>
          <w:sz w:val="32"/>
          <w:szCs w:val="32"/>
          <w:highlight w:val="none"/>
          <w:u w:val="single"/>
        </w:rPr>
        <w:t>日</w:t>
      </w:r>
    </w:p>
    <w:p w14:paraId="6F5655BD">
      <w:pPr>
        <w:adjustRightInd w:val="0"/>
        <w:snapToGrid w:val="0"/>
        <w:spacing w:line="600" w:lineRule="exact"/>
        <w:ind w:firstLine="640"/>
        <w:rPr>
          <w:rFonts w:ascii="Times New Roman" w:hAnsi="Times New Roman" w:eastAsia="仿宋_GB2312"/>
          <w:sz w:val="32"/>
          <w:szCs w:val="32"/>
          <w:highlight w:val="none"/>
        </w:rPr>
      </w:pPr>
    </w:p>
    <w:p w14:paraId="6CCFAA5B">
      <w:pPr>
        <w:pageBreakBefore/>
        <w:tabs>
          <w:tab w:val="left" w:pos="4533"/>
        </w:tabs>
        <w:adjustRightInd w:val="0"/>
        <w:snapToGrid w:val="0"/>
        <w:spacing w:line="600" w:lineRule="exact"/>
        <w:jc w:val="center"/>
        <w:rPr>
          <w:sz w:val="44"/>
          <w:szCs w:val="44"/>
          <w:highlight w:val="none"/>
        </w:rPr>
      </w:pPr>
      <w:r>
        <w:rPr>
          <w:sz w:val="44"/>
          <w:szCs w:val="44"/>
          <w:highlight w:val="none"/>
        </w:rPr>
        <w:t>目录</w:t>
      </w:r>
    </w:p>
    <w:p w14:paraId="68689F1B">
      <w:pPr>
        <w:rPr>
          <w:highlight w:val="none"/>
        </w:rPr>
      </w:pPr>
    </w:p>
    <w:p w14:paraId="7092387F">
      <w:pPr>
        <w:pStyle w:val="6"/>
        <w:spacing w:after="0" w:line="600" w:lineRule="exact"/>
        <w:rPr>
          <w:rFonts w:ascii="黑体" w:hAnsi="黑体" w:eastAsia="黑体" w:cs="黑体"/>
          <w:sz w:val="32"/>
          <w:szCs w:val="32"/>
          <w:highlight w:val="none"/>
        </w:rPr>
      </w:pPr>
      <w:r>
        <w:rPr>
          <w:rFonts w:hint="eastAsia" w:ascii="黑体" w:hAnsi="黑体" w:eastAsia="黑体" w:cs="黑体"/>
          <w:sz w:val="32"/>
          <w:szCs w:val="32"/>
          <w:highlight w:val="none"/>
        </w:rPr>
        <w:t>第一部分单位概况</w:t>
      </w:r>
    </w:p>
    <w:p w14:paraId="57691427">
      <w:pPr>
        <w:pStyle w:val="6"/>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w w:val="95"/>
          <w:sz w:val="32"/>
          <w:szCs w:val="32"/>
          <w:highlight w:val="none"/>
        </w:rPr>
        <w:t>一、</w:t>
      </w:r>
      <w:r>
        <w:rPr>
          <w:rFonts w:hint="eastAsia" w:eastAsia="仿宋_GB2312" w:cs="仿宋"/>
          <w:w w:val="95"/>
          <w:sz w:val="32"/>
          <w:szCs w:val="32"/>
          <w:highlight w:val="none"/>
          <w:lang w:val="en-US" w:eastAsia="zh-CN"/>
        </w:rPr>
        <w:t>单位</w:t>
      </w:r>
      <w:r>
        <w:rPr>
          <w:rFonts w:hint="eastAsia" w:ascii="Times New Roman" w:hAnsi="Times New Roman" w:eastAsia="仿宋_GB2312" w:cs="仿宋"/>
          <w:w w:val="95"/>
          <w:sz w:val="32"/>
          <w:szCs w:val="32"/>
          <w:highlight w:val="none"/>
        </w:rPr>
        <w:t>主要职能、职责</w:t>
      </w:r>
    </w:p>
    <w:p w14:paraId="734E5BAD">
      <w:pPr>
        <w:pStyle w:val="6"/>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二、机构设置及预算单位构成情况</w:t>
      </w:r>
    </w:p>
    <w:p w14:paraId="4C1866FC">
      <w:pPr>
        <w:pStyle w:val="6"/>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三、单位主要工作任务及目标</w:t>
      </w:r>
    </w:p>
    <w:p w14:paraId="731E4040">
      <w:pPr>
        <w:pStyle w:val="6"/>
        <w:spacing w:after="0" w:line="600" w:lineRule="exact"/>
        <w:rPr>
          <w:rFonts w:hint="eastAsia" w:ascii="黑体" w:hAnsi="黑体" w:eastAsia="黑体" w:cs="黑体"/>
          <w:kern w:val="2"/>
          <w:sz w:val="32"/>
          <w:szCs w:val="32"/>
          <w:highlight w:val="none"/>
          <w:lang w:val="en-US" w:eastAsia="zh-CN" w:bidi="ar-SA"/>
        </w:rPr>
      </w:pPr>
      <w:r>
        <w:rPr>
          <w:rFonts w:hint="eastAsia" w:ascii="黑体" w:hAnsi="黑体" w:eastAsia="黑体" w:cs="黑体"/>
          <w:kern w:val="2"/>
          <w:sz w:val="32"/>
          <w:szCs w:val="32"/>
          <w:highlight w:val="none"/>
          <w:lang w:val="en-US" w:eastAsia="zh-CN" w:bidi="ar-SA"/>
        </w:rPr>
        <w:t>第二部分2026年度单位预算情况说明</w:t>
      </w:r>
    </w:p>
    <w:p w14:paraId="3432BFA1">
      <w:pPr>
        <w:pStyle w:val="6"/>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一、</w:t>
      </w:r>
      <w:r>
        <w:rPr>
          <w:rFonts w:hint="eastAsia" w:eastAsia="仿宋_GB2312" w:cs="仿宋"/>
          <w:sz w:val="32"/>
          <w:szCs w:val="32"/>
          <w:highlight w:val="none"/>
          <w:lang w:val="en-US" w:eastAsia="zh-CN"/>
        </w:rPr>
        <w:t>单位</w:t>
      </w:r>
      <w:r>
        <w:rPr>
          <w:rFonts w:hint="eastAsia" w:ascii="Times New Roman" w:hAnsi="Times New Roman" w:eastAsia="仿宋_GB2312" w:cs="仿宋"/>
          <w:sz w:val="32"/>
          <w:szCs w:val="32"/>
          <w:highlight w:val="none"/>
        </w:rPr>
        <w:t>收支预算总体情况说明</w:t>
      </w:r>
    </w:p>
    <w:p w14:paraId="66A30B64">
      <w:pPr>
        <w:pStyle w:val="6"/>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二、</w:t>
      </w:r>
      <w:r>
        <w:rPr>
          <w:rFonts w:hint="eastAsia" w:eastAsia="仿宋_GB2312" w:cs="仿宋"/>
          <w:sz w:val="32"/>
          <w:szCs w:val="32"/>
          <w:highlight w:val="none"/>
          <w:lang w:val="en-US" w:eastAsia="zh-CN"/>
        </w:rPr>
        <w:t>单位</w:t>
      </w:r>
      <w:r>
        <w:rPr>
          <w:rFonts w:hint="eastAsia" w:ascii="Times New Roman" w:hAnsi="Times New Roman" w:eastAsia="仿宋_GB2312" w:cs="仿宋"/>
          <w:sz w:val="32"/>
          <w:szCs w:val="32"/>
          <w:highlight w:val="none"/>
        </w:rPr>
        <w:t>收入预算情况说明</w:t>
      </w:r>
    </w:p>
    <w:p w14:paraId="112AE8BB">
      <w:pPr>
        <w:pStyle w:val="6"/>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三、</w:t>
      </w:r>
      <w:r>
        <w:rPr>
          <w:rFonts w:hint="eastAsia" w:eastAsia="仿宋_GB2312" w:cs="仿宋"/>
          <w:sz w:val="32"/>
          <w:szCs w:val="32"/>
          <w:highlight w:val="none"/>
          <w:lang w:val="en-US" w:eastAsia="zh-CN"/>
        </w:rPr>
        <w:t>单位</w:t>
      </w:r>
      <w:r>
        <w:rPr>
          <w:rFonts w:hint="eastAsia" w:ascii="Times New Roman" w:hAnsi="Times New Roman" w:eastAsia="仿宋_GB2312" w:cs="仿宋"/>
          <w:sz w:val="32"/>
          <w:szCs w:val="32"/>
          <w:highlight w:val="none"/>
        </w:rPr>
        <w:t>支出预算情况说明</w:t>
      </w:r>
    </w:p>
    <w:p w14:paraId="652FBEF6">
      <w:pPr>
        <w:pStyle w:val="6"/>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四、财政拨款收支预算总体情况说明</w:t>
      </w:r>
    </w:p>
    <w:p w14:paraId="0A114965">
      <w:pPr>
        <w:pStyle w:val="6"/>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五、一般公共预算支出预算情况说明</w:t>
      </w:r>
    </w:p>
    <w:p w14:paraId="7D9E1059">
      <w:pPr>
        <w:pStyle w:val="6"/>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六、一般公共预算基本支出预算情况说明</w:t>
      </w:r>
    </w:p>
    <w:p w14:paraId="40F9191D">
      <w:pPr>
        <w:pStyle w:val="6"/>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七、一般公共预算“三公”经费支出预算情况说明</w:t>
      </w:r>
    </w:p>
    <w:p w14:paraId="6CD50FB9">
      <w:pPr>
        <w:pStyle w:val="6"/>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八、政府性基金预算支出预算情况说明</w:t>
      </w:r>
    </w:p>
    <w:p w14:paraId="495EB567">
      <w:pPr>
        <w:pStyle w:val="6"/>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九、国有资本经营预算支出预算情况说明</w:t>
      </w:r>
    </w:p>
    <w:p w14:paraId="00D2C82B">
      <w:pPr>
        <w:pStyle w:val="6"/>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十、项目支出预算情况说明</w:t>
      </w:r>
    </w:p>
    <w:p w14:paraId="4221A348">
      <w:pPr>
        <w:pStyle w:val="6"/>
        <w:spacing w:after="0" w:line="600" w:lineRule="exact"/>
        <w:rPr>
          <w:rFonts w:hint="eastAsia" w:ascii="黑体" w:hAnsi="黑体" w:eastAsia="黑体" w:cs="黑体"/>
          <w:sz w:val="32"/>
          <w:szCs w:val="32"/>
          <w:highlight w:val="none"/>
        </w:rPr>
      </w:pPr>
      <w:r>
        <w:rPr>
          <w:rFonts w:hint="eastAsia" w:ascii="黑体" w:hAnsi="黑体" w:eastAsia="黑体" w:cs="黑体"/>
          <w:sz w:val="32"/>
          <w:szCs w:val="32"/>
          <w:highlight w:val="none"/>
        </w:rPr>
        <w:t>第三部分其他公开事项说明</w:t>
      </w:r>
    </w:p>
    <w:p w14:paraId="70121B56">
      <w:pPr>
        <w:pStyle w:val="6"/>
        <w:spacing w:after="0" w:line="600" w:lineRule="exact"/>
        <w:rPr>
          <w:rFonts w:hint="eastAsia"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一、机关运行经费安排情况说明</w:t>
      </w:r>
    </w:p>
    <w:p w14:paraId="0E666F27">
      <w:pPr>
        <w:pStyle w:val="6"/>
        <w:spacing w:after="0" w:line="600" w:lineRule="exact"/>
        <w:rPr>
          <w:rFonts w:hint="eastAsia"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二、事业运转经费安排情况说明</w:t>
      </w:r>
    </w:p>
    <w:p w14:paraId="4709C0D9">
      <w:pPr>
        <w:pStyle w:val="6"/>
        <w:spacing w:after="0" w:line="600" w:lineRule="exact"/>
        <w:rPr>
          <w:rFonts w:hint="eastAsia"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三、政府采购支出预算情况说明</w:t>
      </w:r>
    </w:p>
    <w:p w14:paraId="1E517F88">
      <w:pPr>
        <w:pStyle w:val="6"/>
        <w:spacing w:after="0" w:line="600" w:lineRule="exact"/>
        <w:rPr>
          <w:rFonts w:hint="eastAsia"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四、国有资产占有使用情况说明</w:t>
      </w:r>
    </w:p>
    <w:p w14:paraId="332D8AAB">
      <w:pPr>
        <w:pStyle w:val="6"/>
        <w:spacing w:after="0" w:line="600" w:lineRule="exact"/>
        <w:rPr>
          <w:rFonts w:hint="eastAsia"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五、</w:t>
      </w:r>
      <w:r>
        <w:rPr>
          <w:rFonts w:hint="eastAsia" w:eastAsia="仿宋_GB2312" w:cs="仿宋"/>
          <w:sz w:val="32"/>
          <w:szCs w:val="32"/>
          <w:highlight w:val="none"/>
          <w:lang w:val="en-US" w:eastAsia="zh-CN"/>
        </w:rPr>
        <w:t>单位</w:t>
      </w:r>
      <w:r>
        <w:rPr>
          <w:rFonts w:hint="eastAsia" w:ascii="Times New Roman" w:hAnsi="Times New Roman" w:eastAsia="仿宋_GB2312" w:cs="仿宋"/>
          <w:sz w:val="32"/>
          <w:szCs w:val="32"/>
          <w:highlight w:val="none"/>
        </w:rPr>
        <w:t>组织征收收入计划</w:t>
      </w:r>
    </w:p>
    <w:p w14:paraId="62A33F55">
      <w:pPr>
        <w:pStyle w:val="6"/>
        <w:spacing w:after="0" w:line="600" w:lineRule="exact"/>
        <w:rPr>
          <w:rFonts w:hint="eastAsia"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六、绩效目标设置情况说明</w:t>
      </w:r>
    </w:p>
    <w:p w14:paraId="2145519D">
      <w:pPr>
        <w:pStyle w:val="6"/>
        <w:spacing w:after="0" w:line="600" w:lineRule="exact"/>
        <w:rPr>
          <w:rFonts w:ascii="黑体" w:hAnsi="黑体" w:eastAsia="黑体" w:cs="黑体"/>
          <w:sz w:val="32"/>
          <w:szCs w:val="32"/>
          <w:highlight w:val="none"/>
        </w:rPr>
      </w:pPr>
      <w:r>
        <w:rPr>
          <w:rFonts w:hint="eastAsia" w:ascii="黑体" w:hAnsi="黑体" w:eastAsia="黑体" w:cs="黑体"/>
          <w:sz w:val="32"/>
          <w:szCs w:val="32"/>
          <w:highlight w:val="none"/>
        </w:rPr>
        <w:t>第</w:t>
      </w:r>
      <w:r>
        <w:rPr>
          <w:rFonts w:hint="eastAsia" w:ascii="黑体" w:hAnsi="黑体" w:eastAsia="黑体" w:cs="黑体"/>
          <w:sz w:val="32"/>
          <w:szCs w:val="32"/>
          <w:highlight w:val="none"/>
          <w:lang w:val="en-US" w:eastAsia="zh-CN"/>
        </w:rPr>
        <w:t>四</w:t>
      </w:r>
      <w:r>
        <w:rPr>
          <w:rFonts w:hint="eastAsia" w:ascii="黑体" w:hAnsi="黑体" w:eastAsia="黑体" w:cs="黑体"/>
          <w:sz w:val="32"/>
          <w:szCs w:val="32"/>
          <w:highlight w:val="none"/>
        </w:rPr>
        <w:t>部分名词解释</w:t>
      </w:r>
    </w:p>
    <w:p w14:paraId="69F460F5">
      <w:pPr>
        <w:pStyle w:val="6"/>
        <w:spacing w:after="0" w:line="600" w:lineRule="exact"/>
        <w:rPr>
          <w:rFonts w:ascii="黑体" w:hAnsi="黑体" w:eastAsia="黑体" w:cs="黑体"/>
          <w:sz w:val="32"/>
          <w:szCs w:val="32"/>
          <w:highlight w:val="none"/>
        </w:rPr>
      </w:pPr>
      <w:r>
        <w:rPr>
          <w:rFonts w:hint="eastAsia" w:ascii="黑体" w:hAnsi="黑体" w:eastAsia="黑体" w:cs="黑体"/>
          <w:sz w:val="32"/>
          <w:szCs w:val="32"/>
          <w:highlight w:val="none"/>
        </w:rPr>
        <w:t>第</w:t>
      </w:r>
      <w:r>
        <w:rPr>
          <w:rFonts w:hint="eastAsia" w:ascii="黑体" w:hAnsi="黑体" w:eastAsia="黑体" w:cs="黑体"/>
          <w:sz w:val="32"/>
          <w:szCs w:val="32"/>
          <w:highlight w:val="none"/>
          <w:lang w:val="en-US" w:eastAsia="zh-CN"/>
        </w:rPr>
        <w:t>五</w:t>
      </w:r>
      <w:r>
        <w:rPr>
          <w:rFonts w:hint="eastAsia" w:ascii="黑体" w:hAnsi="黑体" w:eastAsia="黑体" w:cs="黑体"/>
          <w:sz w:val="32"/>
          <w:szCs w:val="32"/>
          <w:highlight w:val="none"/>
        </w:rPr>
        <w:t>部分预算公开联系方式及信息反馈渠道</w:t>
      </w:r>
    </w:p>
    <w:p w14:paraId="16DC210B">
      <w:pPr>
        <w:pStyle w:val="6"/>
        <w:spacing w:after="0" w:line="600" w:lineRule="exact"/>
        <w:rPr>
          <w:rFonts w:hint="eastAsia" w:ascii="黑体" w:hAnsi="黑体" w:eastAsia="黑体" w:cs="黑体"/>
          <w:sz w:val="32"/>
          <w:szCs w:val="32"/>
          <w:highlight w:val="none"/>
        </w:rPr>
      </w:pPr>
      <w:r>
        <w:rPr>
          <w:rFonts w:hint="eastAsia" w:ascii="黑体" w:hAnsi="黑体" w:eastAsia="黑体" w:cs="黑体"/>
          <w:sz w:val="32"/>
          <w:szCs w:val="32"/>
          <w:highlight w:val="none"/>
        </w:rPr>
        <w:t>第</w:t>
      </w:r>
      <w:r>
        <w:rPr>
          <w:rFonts w:hint="eastAsia" w:ascii="黑体" w:hAnsi="黑体" w:eastAsia="黑体" w:cs="黑体"/>
          <w:sz w:val="32"/>
          <w:szCs w:val="32"/>
          <w:highlight w:val="none"/>
          <w:lang w:val="en-US" w:eastAsia="zh-CN"/>
        </w:rPr>
        <w:t>六</w:t>
      </w:r>
      <w:r>
        <w:rPr>
          <w:rFonts w:hint="eastAsia" w:ascii="黑体" w:hAnsi="黑体" w:eastAsia="黑体" w:cs="黑体"/>
          <w:sz w:val="32"/>
          <w:szCs w:val="32"/>
          <w:highlight w:val="none"/>
        </w:rPr>
        <w:t>部分</w:t>
      </w:r>
      <w:r>
        <w:rPr>
          <w:rFonts w:hint="eastAsia" w:ascii="黑体" w:hAnsi="黑体" w:eastAsia="黑体" w:cs="黑体"/>
          <w:sz w:val="32"/>
          <w:szCs w:val="32"/>
          <w:highlight w:val="none"/>
          <w:lang w:val="en-US" w:eastAsia="zh-CN"/>
        </w:rPr>
        <w:t>2026</w:t>
      </w:r>
      <w:r>
        <w:rPr>
          <w:rFonts w:hint="eastAsia" w:ascii="黑体" w:hAnsi="黑体" w:eastAsia="黑体" w:cs="黑体"/>
          <w:sz w:val="32"/>
          <w:szCs w:val="32"/>
          <w:highlight w:val="none"/>
        </w:rPr>
        <w:t>年度单位预算表</w:t>
      </w:r>
    </w:p>
    <w:p w14:paraId="1A1DE8AE">
      <w:pPr>
        <w:pStyle w:val="6"/>
        <w:spacing w:after="0" w:line="600" w:lineRule="exact"/>
        <w:rPr>
          <w:rFonts w:hint="eastAsia"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一、</w:t>
      </w:r>
      <w:r>
        <w:rPr>
          <w:rFonts w:hint="eastAsia" w:eastAsia="仿宋_GB2312" w:cs="仿宋"/>
          <w:sz w:val="32"/>
          <w:szCs w:val="32"/>
          <w:highlight w:val="none"/>
          <w:lang w:val="en-US" w:eastAsia="zh-CN"/>
        </w:rPr>
        <w:t>单位</w:t>
      </w:r>
      <w:r>
        <w:rPr>
          <w:rFonts w:hint="eastAsia" w:ascii="Times New Roman" w:hAnsi="Times New Roman" w:eastAsia="仿宋_GB2312" w:cs="仿宋"/>
          <w:sz w:val="32"/>
          <w:szCs w:val="32"/>
          <w:highlight w:val="none"/>
        </w:rPr>
        <w:t>收支总体情况表</w:t>
      </w:r>
    </w:p>
    <w:p w14:paraId="30BC10BD">
      <w:pPr>
        <w:pStyle w:val="6"/>
        <w:spacing w:after="0" w:line="600" w:lineRule="exact"/>
        <w:rPr>
          <w:rFonts w:hint="eastAsia"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二、</w:t>
      </w:r>
      <w:r>
        <w:rPr>
          <w:rFonts w:hint="eastAsia" w:eastAsia="仿宋_GB2312" w:cs="仿宋"/>
          <w:sz w:val="32"/>
          <w:szCs w:val="32"/>
          <w:highlight w:val="none"/>
          <w:lang w:val="en-US" w:eastAsia="zh-CN"/>
        </w:rPr>
        <w:t>单位</w:t>
      </w:r>
      <w:r>
        <w:rPr>
          <w:rFonts w:hint="eastAsia" w:ascii="Times New Roman" w:hAnsi="Times New Roman" w:eastAsia="仿宋_GB2312" w:cs="仿宋"/>
          <w:sz w:val="32"/>
          <w:szCs w:val="32"/>
          <w:highlight w:val="none"/>
        </w:rPr>
        <w:t>收入总体情况表</w:t>
      </w:r>
    </w:p>
    <w:p w14:paraId="4C9A284F">
      <w:pPr>
        <w:pStyle w:val="6"/>
        <w:spacing w:after="0" w:line="600" w:lineRule="exact"/>
        <w:rPr>
          <w:rFonts w:hint="eastAsia"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三、</w:t>
      </w:r>
      <w:r>
        <w:rPr>
          <w:rFonts w:hint="eastAsia" w:eastAsia="仿宋_GB2312" w:cs="仿宋"/>
          <w:sz w:val="32"/>
          <w:szCs w:val="32"/>
          <w:highlight w:val="none"/>
          <w:lang w:val="en-US" w:eastAsia="zh-CN"/>
        </w:rPr>
        <w:t>单位</w:t>
      </w:r>
      <w:r>
        <w:rPr>
          <w:rFonts w:hint="eastAsia" w:ascii="Times New Roman" w:hAnsi="Times New Roman" w:eastAsia="仿宋_GB2312" w:cs="仿宋"/>
          <w:sz w:val="32"/>
          <w:szCs w:val="32"/>
          <w:highlight w:val="none"/>
        </w:rPr>
        <w:t>支出总体情况表</w:t>
      </w:r>
    </w:p>
    <w:p w14:paraId="309AC2BA">
      <w:pPr>
        <w:pStyle w:val="6"/>
        <w:spacing w:after="0" w:line="600" w:lineRule="exact"/>
        <w:rPr>
          <w:rFonts w:hint="eastAsia"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四、财政拨款收支总体情况表</w:t>
      </w:r>
    </w:p>
    <w:p w14:paraId="09C409E2">
      <w:pPr>
        <w:pStyle w:val="6"/>
        <w:spacing w:after="0" w:line="600" w:lineRule="exact"/>
        <w:rPr>
          <w:rFonts w:hint="eastAsia"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五、一般公共预算支出情况表</w:t>
      </w:r>
    </w:p>
    <w:p w14:paraId="74CE6562">
      <w:pPr>
        <w:pStyle w:val="6"/>
        <w:spacing w:after="0" w:line="600" w:lineRule="exact"/>
        <w:rPr>
          <w:rFonts w:hint="eastAsia"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六、一般公共预算基本支出情况表</w:t>
      </w:r>
    </w:p>
    <w:p w14:paraId="10C8F73A">
      <w:pPr>
        <w:pStyle w:val="6"/>
        <w:spacing w:after="0" w:line="600" w:lineRule="exact"/>
        <w:rPr>
          <w:rFonts w:hint="eastAsia"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七、一般公共预算“三公”经费支出情况表</w:t>
      </w:r>
    </w:p>
    <w:p w14:paraId="26659DB2">
      <w:pPr>
        <w:pStyle w:val="6"/>
        <w:spacing w:after="0" w:line="600" w:lineRule="exact"/>
        <w:rPr>
          <w:rFonts w:hint="eastAsia"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八、政府性基金预算支出情况表</w:t>
      </w:r>
    </w:p>
    <w:p w14:paraId="11D2335C">
      <w:pPr>
        <w:pStyle w:val="6"/>
        <w:spacing w:after="0" w:line="600" w:lineRule="exact"/>
        <w:rPr>
          <w:rFonts w:hint="eastAsia"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九、国有资本经营预算支出表</w:t>
      </w:r>
    </w:p>
    <w:p w14:paraId="77269412">
      <w:pPr>
        <w:pStyle w:val="6"/>
        <w:spacing w:after="0" w:line="600" w:lineRule="exact"/>
        <w:rPr>
          <w:rFonts w:hint="eastAsia"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十、项目支出表</w:t>
      </w:r>
    </w:p>
    <w:p w14:paraId="3213078E">
      <w:pPr>
        <w:pStyle w:val="6"/>
        <w:spacing w:after="0" w:line="600" w:lineRule="exact"/>
        <w:rPr>
          <w:rFonts w:hint="eastAsia"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十一、项目绩效目标表</w:t>
      </w:r>
    </w:p>
    <w:p w14:paraId="65FA5660">
      <w:pPr>
        <w:pStyle w:val="6"/>
        <w:spacing w:after="0" w:line="600" w:lineRule="exact"/>
        <w:rPr>
          <w:rFonts w:hint="eastAsia" w:ascii="Times New Roman" w:hAnsi="Times New Roman" w:eastAsia="仿宋_GB2312" w:cs="仿宋"/>
          <w:sz w:val="32"/>
          <w:szCs w:val="32"/>
          <w:highlight w:val="none"/>
        </w:rPr>
        <w:sectPr>
          <w:headerReference r:id="rId3" w:type="default"/>
          <w:footerReference r:id="rId4" w:type="default"/>
          <w:pgSz w:w="11905" w:h="16838"/>
          <w:pgMar w:top="1701" w:right="1531" w:bottom="1701" w:left="1531" w:header="850" w:footer="992" w:gutter="0"/>
          <w:pgNumType w:fmt="numberInDash"/>
          <w:cols w:space="0" w:num="1"/>
          <w:rtlGutter w:val="0"/>
          <w:docGrid w:type="lines" w:linePitch="312" w:charSpace="0"/>
        </w:sectPr>
      </w:pPr>
      <w:r>
        <w:rPr>
          <w:rFonts w:hint="eastAsia" w:ascii="Times New Roman" w:hAnsi="Times New Roman" w:eastAsia="仿宋_GB2312" w:cs="仿宋"/>
          <w:sz w:val="32"/>
          <w:szCs w:val="32"/>
          <w:highlight w:val="none"/>
        </w:rPr>
        <w:t>十二、政府采购预算表</w:t>
      </w:r>
    </w:p>
    <w:p w14:paraId="60380443">
      <w:pPr>
        <w:pStyle w:val="5"/>
        <w:tabs>
          <w:tab w:val="left" w:pos="4392"/>
        </w:tabs>
        <w:adjustRightInd/>
        <w:snapToGrid/>
        <w:spacing w:before="0" w:after="0" w:line="600" w:lineRule="exact"/>
        <w:ind w:firstLine="0" w:firstLineChars="0"/>
        <w:jc w:val="center"/>
        <w:rPr>
          <w:rFonts w:hint="eastAsia" w:ascii="仿宋_GB2312" w:hAnsi="仿宋" w:eastAsia="仿宋_GB2312" w:cs="仿宋"/>
          <w:b/>
          <w:bCs/>
          <w:color w:val="auto"/>
          <w:kern w:val="0"/>
          <w:sz w:val="36"/>
          <w:szCs w:val="32"/>
          <w:lang w:val="en-US" w:eastAsia="zh-CN" w:bidi="ar"/>
        </w:rPr>
      </w:pPr>
      <w:bookmarkStart w:id="0" w:name="_Toc30742"/>
      <w:r>
        <w:rPr>
          <w:rFonts w:hint="eastAsia" w:ascii="仿宋_GB2312" w:hAnsi="仿宋" w:eastAsia="仿宋_GB2312" w:cs="仿宋"/>
          <w:b/>
          <w:bCs/>
          <w:color w:val="auto"/>
          <w:kern w:val="0"/>
          <w:sz w:val="36"/>
          <w:szCs w:val="32"/>
          <w:lang w:val="en-US" w:eastAsia="zh-CN" w:bidi="ar"/>
        </w:rPr>
        <w:t>第一部分 单位概况</w:t>
      </w:r>
      <w:bookmarkEnd w:id="0"/>
    </w:p>
    <w:p w14:paraId="5F90A8A6">
      <w:pPr>
        <w:spacing w:line="600" w:lineRule="exact"/>
        <w:rPr>
          <w:rFonts w:ascii="方正小标宋简体" w:hAnsi="方正小标宋简体" w:eastAsia="方正小标宋简体" w:cs="方正小标宋简体"/>
          <w:sz w:val="36"/>
          <w:szCs w:val="36"/>
          <w:highlight w:val="none"/>
        </w:rPr>
      </w:pPr>
    </w:p>
    <w:p w14:paraId="73609640">
      <w:pPr>
        <w:numPr>
          <w:ilvl w:val="0"/>
          <w:numId w:val="1"/>
        </w:numPr>
        <w:spacing w:line="600" w:lineRule="exact"/>
        <w:ind w:left="17" w:leftChars="8" w:firstLine="624" w:firstLineChars="195"/>
        <w:outlineLvl w:val="2"/>
        <w:rPr>
          <w:rFonts w:eastAsia="黑体" w:cs="黑体"/>
          <w:sz w:val="32"/>
          <w:szCs w:val="36"/>
          <w:highlight w:val="none"/>
        </w:rPr>
      </w:pPr>
      <w:r>
        <w:rPr>
          <w:rFonts w:hint="eastAsia" w:eastAsia="黑体" w:cs="黑体"/>
          <w:sz w:val="32"/>
          <w:szCs w:val="36"/>
          <w:highlight w:val="none"/>
        </w:rPr>
        <w:t>主要职能职责</w:t>
      </w:r>
    </w:p>
    <w:p w14:paraId="1657AE93">
      <w:pPr>
        <w:spacing w:line="600" w:lineRule="exact"/>
        <w:ind w:firstLine="640" w:firstLineChars="200"/>
        <w:contextualSpacing/>
        <w:rPr>
          <w:rFonts w:ascii="楷体_GB2312" w:eastAsia="楷体_GB2312"/>
          <w:sz w:val="32"/>
          <w:szCs w:val="32"/>
        </w:rPr>
      </w:pPr>
      <w:r>
        <w:rPr>
          <w:rFonts w:hint="eastAsia" w:ascii="楷体_GB2312" w:eastAsia="楷体_GB2312"/>
          <w:sz w:val="32"/>
          <w:szCs w:val="32"/>
        </w:rPr>
        <w:t>（一）单位职能</w:t>
      </w:r>
    </w:p>
    <w:p w14:paraId="3CD10363">
      <w:pPr>
        <w:spacing w:line="600" w:lineRule="exact"/>
        <w:ind w:firstLine="640" w:firstLineChars="200"/>
        <w:contextualSpacing/>
        <w:rPr>
          <w:rFonts w:ascii="仿宋_GB2312" w:eastAsia="仿宋_GB2312"/>
          <w:sz w:val="32"/>
          <w:szCs w:val="32"/>
        </w:rPr>
      </w:pPr>
      <w:r>
        <w:rPr>
          <w:rFonts w:hint="eastAsia" w:ascii="仿宋_GB2312" w:eastAsia="仿宋_GB2312"/>
          <w:sz w:val="32"/>
          <w:szCs w:val="32"/>
        </w:rPr>
        <w:t>乌海市教育局是乌海市人民政府主管统筹规划和协调管理各级各类教育、指导各级各类学校的教育教学改革的综合经济部门。</w:t>
      </w:r>
    </w:p>
    <w:p w14:paraId="397BB978">
      <w:pPr>
        <w:spacing w:line="600" w:lineRule="exact"/>
        <w:ind w:firstLine="640" w:firstLineChars="200"/>
        <w:contextualSpacing/>
        <w:rPr>
          <w:rFonts w:ascii="楷体_GB2312" w:eastAsia="楷体_GB2312"/>
          <w:sz w:val="32"/>
          <w:szCs w:val="32"/>
        </w:rPr>
      </w:pPr>
      <w:r>
        <w:rPr>
          <w:rFonts w:hint="eastAsia" w:ascii="楷体_GB2312" w:eastAsia="楷体_GB2312"/>
          <w:sz w:val="32"/>
          <w:szCs w:val="32"/>
        </w:rPr>
        <w:t>（二）单位职责</w:t>
      </w:r>
    </w:p>
    <w:p w14:paraId="56BC8D64">
      <w:pPr>
        <w:spacing w:line="600" w:lineRule="exact"/>
        <w:ind w:firstLine="640" w:firstLineChars="200"/>
        <w:contextualSpacing/>
        <w:rPr>
          <w:rFonts w:hint="eastAsia" w:ascii="仿宋_GB2312" w:eastAsia="仿宋_GB2312"/>
          <w:sz w:val="32"/>
          <w:szCs w:val="32"/>
        </w:rPr>
      </w:pPr>
      <w:r>
        <w:rPr>
          <w:rFonts w:hint="eastAsia" w:ascii="仿宋_GB2312" w:eastAsia="仿宋_GB2312"/>
          <w:sz w:val="32"/>
          <w:szCs w:val="32"/>
        </w:rPr>
        <w:t>1.贯彻落实国家、自治区关于教育工作的方针、政策和法律、法规，研究拟定全市教育改革发展战略和教育事业发展规划及政策措施，并组织监督实施；参与拟订教育发展战略和规划，指导各级各类学校的教育教学改革工作。</w:t>
      </w:r>
    </w:p>
    <w:p w14:paraId="4B93595E">
      <w:pPr>
        <w:spacing w:line="600" w:lineRule="exact"/>
        <w:ind w:firstLine="640" w:firstLineChars="200"/>
        <w:contextualSpacing/>
        <w:rPr>
          <w:rFonts w:hint="eastAsia" w:ascii="仿宋_GB2312" w:eastAsia="仿宋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负责推进义务教育均衡发展和促进教育公平，组织实施高水平高质量普及九年义务教育工作，组织指导编写学校课程材，指导中小学校外教育工作，全面实施素质教育。</w:t>
      </w:r>
    </w:p>
    <w:p w14:paraId="2C1BA1C2">
      <w:pPr>
        <w:spacing w:line="600" w:lineRule="exact"/>
        <w:ind w:firstLine="640" w:firstLineChars="200"/>
        <w:contextualSpacing/>
        <w:rPr>
          <w:rFonts w:hint="eastAsia" w:ascii="仿宋_GB2312" w:eastAsia="仿宋_GB2312"/>
          <w:sz w:val="32"/>
          <w:szCs w:val="32"/>
        </w:rPr>
      </w:pPr>
      <w:r>
        <w:rPr>
          <w:rFonts w:hint="eastAsia" w:ascii="仿宋_GB2312" w:eastAsia="仿宋_GB2312"/>
          <w:sz w:val="32"/>
          <w:szCs w:val="32"/>
          <w:lang w:val="en-US" w:eastAsia="zh-CN"/>
        </w:rPr>
        <w:t>3.</w:t>
      </w:r>
      <w:r>
        <w:rPr>
          <w:rFonts w:hint="eastAsia" w:ascii="仿宋_GB2312" w:eastAsia="仿宋_GB2312"/>
          <w:sz w:val="32"/>
          <w:szCs w:val="32"/>
        </w:rPr>
        <w:t>指导并组织教育督导工作。负责对中小学校督导评估和检查验收工作，组织开展基础教育发展水平和质量监测工作，发布教育督导报告。</w:t>
      </w:r>
    </w:p>
    <w:p w14:paraId="2363DA59">
      <w:pPr>
        <w:spacing w:line="600" w:lineRule="exact"/>
        <w:ind w:firstLine="640" w:firstLineChars="200"/>
        <w:contextualSpacing/>
        <w:rPr>
          <w:rFonts w:hint="eastAsia" w:ascii="仿宋_GB2312" w:eastAsia="仿宋_GB2312"/>
          <w:sz w:val="32"/>
          <w:szCs w:val="32"/>
        </w:rPr>
      </w:pPr>
      <w:r>
        <w:rPr>
          <w:rFonts w:hint="eastAsia" w:ascii="仿宋_GB2312" w:eastAsia="仿宋_GB2312"/>
          <w:sz w:val="32"/>
          <w:szCs w:val="32"/>
        </w:rPr>
        <w:t>4.指导以就业为导向的职业教育的发展与改革；组织编写地方教材；开展职业指导工作；指导民族中等职业教育、民办教育、职工教育、农牧民教育、社区教育及各类成人教育。</w:t>
      </w:r>
    </w:p>
    <w:p w14:paraId="5587AFB4">
      <w:pPr>
        <w:numPr>
          <w:ilvl w:val="0"/>
          <w:numId w:val="1"/>
        </w:numPr>
        <w:spacing w:line="600" w:lineRule="exact"/>
        <w:ind w:left="17" w:leftChars="8" w:firstLine="624" w:firstLineChars="195"/>
        <w:outlineLvl w:val="2"/>
        <w:rPr>
          <w:rFonts w:hint="eastAsia" w:eastAsia="黑体" w:cs="黑体"/>
          <w:sz w:val="32"/>
          <w:szCs w:val="36"/>
          <w:highlight w:val="none"/>
        </w:rPr>
      </w:pPr>
      <w:r>
        <w:rPr>
          <w:rFonts w:hint="eastAsia" w:eastAsia="黑体" w:cs="黑体"/>
          <w:sz w:val="32"/>
          <w:szCs w:val="36"/>
          <w:highlight w:val="none"/>
        </w:rPr>
        <w:t>单位机构设置及预算单位构成情况</w:t>
      </w:r>
    </w:p>
    <w:p w14:paraId="42B35BD7">
      <w:pPr>
        <w:widowControl/>
        <w:spacing w:line="600" w:lineRule="exact"/>
        <w:ind w:firstLine="640" w:firstLineChars="200"/>
        <w:jc w:val="left"/>
        <w:rPr>
          <w:rFonts w:hint="eastAsia" w:eastAsia="仿宋_GB2312" w:cstheme="minorBidi"/>
          <w:sz w:val="32"/>
          <w:szCs w:val="32"/>
          <w:highlight w:val="none"/>
        </w:rPr>
      </w:pPr>
      <w:r>
        <w:rPr>
          <w:rFonts w:hint="eastAsia" w:eastAsia="仿宋_GB2312" w:cstheme="minorBidi"/>
          <w:sz w:val="32"/>
          <w:szCs w:val="32"/>
          <w:highlight w:val="none"/>
        </w:rPr>
        <w:t>从预算单位构成看，2026年乌海市职业技术学校</w:t>
      </w:r>
      <w:r>
        <w:rPr>
          <w:rFonts w:hint="eastAsia" w:eastAsia="仿宋_GB2312" w:cstheme="minorBidi"/>
          <w:sz w:val="32"/>
          <w:szCs w:val="32"/>
          <w:highlight w:val="none"/>
          <w:lang w:val="en-US" w:eastAsia="zh-CN"/>
        </w:rPr>
        <w:t>单位</w:t>
      </w:r>
      <w:r>
        <w:rPr>
          <w:rFonts w:hint="eastAsia" w:eastAsia="仿宋_GB2312" w:cstheme="minorBidi"/>
          <w:sz w:val="32"/>
          <w:szCs w:val="32"/>
          <w:highlight w:val="none"/>
        </w:rPr>
        <w:t>预算包括：部门本级预算和部门所属事业单位预算。</w:t>
      </w:r>
    </w:p>
    <w:p w14:paraId="3B180D71">
      <w:pPr>
        <w:widowControl/>
        <w:spacing w:line="600" w:lineRule="exact"/>
        <w:ind w:firstLine="640" w:firstLineChars="200"/>
        <w:jc w:val="left"/>
        <w:rPr>
          <w:rFonts w:hint="eastAsia" w:eastAsia="仿宋_GB2312" w:cstheme="minorBidi"/>
          <w:sz w:val="32"/>
          <w:szCs w:val="32"/>
          <w:highlight w:val="none"/>
          <w:lang w:val="en-US" w:eastAsia="zh-CN"/>
        </w:rPr>
      </w:pPr>
      <w:r>
        <w:rPr>
          <w:rFonts w:hint="eastAsia" w:ascii="楷体_GB2312" w:hAnsi="仿宋" w:eastAsia="楷体_GB2312" w:cs="仿宋"/>
          <w:bCs/>
          <w:color w:val="auto"/>
          <w:kern w:val="0"/>
          <w:sz w:val="32"/>
          <w:szCs w:val="32"/>
          <w:lang w:bidi="ar"/>
        </w:rPr>
        <w:t>（一）</w:t>
      </w:r>
      <w:r>
        <w:rPr>
          <w:rFonts w:hint="eastAsia" w:ascii="楷体_GB2312" w:hAnsi="仿宋" w:eastAsia="楷体_GB2312" w:cs="仿宋"/>
          <w:bCs/>
          <w:color w:val="auto"/>
          <w:kern w:val="0"/>
          <w:sz w:val="32"/>
          <w:szCs w:val="32"/>
          <w:lang w:val="en-US" w:eastAsia="zh-CN" w:bidi="ar"/>
        </w:rPr>
        <w:t>乌</w:t>
      </w:r>
      <w:r>
        <w:rPr>
          <w:rFonts w:hint="eastAsia" w:ascii="楷体_GB2312" w:hAnsi="仿宋" w:eastAsia="楷体_GB2312" w:cs="仿宋"/>
          <w:bCs/>
          <w:color w:val="auto"/>
          <w:kern w:val="0"/>
          <w:sz w:val="32"/>
          <w:szCs w:val="32"/>
          <w:lang w:bidi="ar"/>
        </w:rPr>
        <w:t>海市职业技术学校单位机构</w:t>
      </w:r>
    </w:p>
    <w:p w14:paraId="61A34988">
      <w:pPr>
        <w:widowControl/>
        <w:spacing w:line="600" w:lineRule="exact"/>
        <w:ind w:firstLine="640" w:firstLineChars="200"/>
        <w:jc w:val="left"/>
        <w:rPr>
          <w:rFonts w:ascii="仿宋_GB2312" w:eastAsia="仿宋_GB2312"/>
          <w:sz w:val="32"/>
          <w:szCs w:val="32"/>
        </w:rPr>
      </w:pPr>
      <w:r>
        <w:rPr>
          <w:rFonts w:hint="eastAsia" w:eastAsia="仿宋_GB2312" w:cstheme="minorBidi"/>
          <w:sz w:val="32"/>
          <w:szCs w:val="32"/>
          <w:highlight w:val="none"/>
          <w:lang w:val="en-US" w:eastAsia="zh-CN"/>
        </w:rPr>
        <w:t>2</w:t>
      </w:r>
      <w:r>
        <w:rPr>
          <w:rFonts w:hint="eastAsia" w:eastAsia="仿宋_GB2312" w:cstheme="minorBidi"/>
          <w:sz w:val="32"/>
          <w:szCs w:val="32"/>
          <w:highlight w:val="none"/>
        </w:rPr>
        <w:t>026年，乌海市职业技术学校共有机构数</w:t>
      </w:r>
      <w:r>
        <w:rPr>
          <w:rFonts w:hint="eastAsia" w:eastAsia="仿宋_GB2312" w:cstheme="minorBidi"/>
          <w:sz w:val="32"/>
          <w:szCs w:val="32"/>
          <w:highlight w:val="none"/>
          <w:lang w:val="en-US" w:eastAsia="zh-CN"/>
        </w:rPr>
        <w:t>1</w:t>
      </w:r>
      <w:r>
        <w:rPr>
          <w:rFonts w:hint="eastAsia" w:eastAsia="仿宋_GB2312" w:cstheme="minorBidi"/>
          <w:sz w:val="32"/>
          <w:szCs w:val="32"/>
          <w:highlight w:val="none"/>
        </w:rPr>
        <w:t>家，其中财政拨款的行政单位</w:t>
      </w:r>
      <w:r>
        <w:rPr>
          <w:rFonts w:hint="eastAsia" w:eastAsia="仿宋_GB2312" w:cstheme="minorBidi"/>
          <w:sz w:val="32"/>
          <w:szCs w:val="32"/>
          <w:highlight w:val="none"/>
          <w:lang w:val="en-US" w:eastAsia="zh-CN"/>
        </w:rPr>
        <w:t>0</w:t>
      </w:r>
      <w:r>
        <w:rPr>
          <w:rFonts w:hint="eastAsia" w:eastAsia="仿宋_GB2312" w:cstheme="minorBidi"/>
          <w:sz w:val="32"/>
          <w:szCs w:val="32"/>
          <w:highlight w:val="none"/>
        </w:rPr>
        <w:t>家、参照公务员法管理的事业单位</w:t>
      </w:r>
      <w:r>
        <w:rPr>
          <w:rFonts w:hint="eastAsia" w:eastAsia="仿宋_GB2312" w:cstheme="minorBidi"/>
          <w:sz w:val="32"/>
          <w:szCs w:val="32"/>
          <w:highlight w:val="none"/>
          <w:lang w:val="en-US" w:eastAsia="zh-CN"/>
        </w:rPr>
        <w:t>0</w:t>
      </w:r>
      <w:r>
        <w:rPr>
          <w:rFonts w:hint="eastAsia" w:eastAsia="仿宋_GB2312" w:cstheme="minorBidi"/>
          <w:sz w:val="32"/>
          <w:szCs w:val="32"/>
          <w:highlight w:val="none"/>
        </w:rPr>
        <w:t>家、公益一类事业单位</w:t>
      </w:r>
      <w:r>
        <w:rPr>
          <w:rFonts w:hint="eastAsia" w:eastAsia="仿宋_GB2312" w:cstheme="minorBidi"/>
          <w:sz w:val="32"/>
          <w:szCs w:val="32"/>
          <w:highlight w:val="none"/>
          <w:lang w:val="en-US" w:eastAsia="zh-CN"/>
        </w:rPr>
        <w:t>0</w:t>
      </w:r>
      <w:r>
        <w:rPr>
          <w:rFonts w:hint="eastAsia" w:eastAsia="仿宋_GB2312" w:cstheme="minorBidi"/>
          <w:sz w:val="32"/>
          <w:szCs w:val="32"/>
          <w:highlight w:val="none"/>
        </w:rPr>
        <w:t>家、公益二类事业单位</w:t>
      </w:r>
      <w:r>
        <w:rPr>
          <w:rFonts w:hint="eastAsia" w:eastAsia="仿宋_GB2312" w:cstheme="minorBidi"/>
          <w:sz w:val="32"/>
          <w:szCs w:val="32"/>
          <w:highlight w:val="none"/>
          <w:lang w:val="en-US" w:eastAsia="zh-CN"/>
        </w:rPr>
        <w:t>1</w:t>
      </w:r>
      <w:r>
        <w:rPr>
          <w:rFonts w:hint="eastAsia" w:eastAsia="仿宋_GB2312" w:cstheme="minorBidi"/>
          <w:sz w:val="32"/>
          <w:szCs w:val="32"/>
          <w:highlight w:val="none"/>
        </w:rPr>
        <w:t>家。与去年相比，机构数量减少</w:t>
      </w:r>
      <w:r>
        <w:rPr>
          <w:rFonts w:hint="eastAsia" w:eastAsia="仿宋_GB2312" w:cstheme="minorBidi"/>
          <w:sz w:val="32"/>
          <w:szCs w:val="32"/>
          <w:highlight w:val="none"/>
          <w:lang w:val="en-US" w:eastAsia="zh-CN"/>
        </w:rPr>
        <w:t>0</w:t>
      </w:r>
      <w:r>
        <w:rPr>
          <w:rFonts w:hint="eastAsia" w:eastAsia="仿宋_GB2312" w:cstheme="minorBidi"/>
          <w:sz w:val="32"/>
          <w:szCs w:val="32"/>
          <w:highlight w:val="none"/>
        </w:rPr>
        <w:t>家，原因</w:t>
      </w:r>
      <w:r>
        <w:rPr>
          <w:rFonts w:hint="eastAsia" w:eastAsia="仿宋_GB2312" w:cstheme="minorBidi"/>
          <w:sz w:val="32"/>
          <w:szCs w:val="32"/>
          <w:highlight w:val="none"/>
          <w:lang w:val="en-US" w:eastAsia="zh-CN"/>
        </w:rPr>
        <w:t>为与上年一致</w:t>
      </w:r>
      <w:r>
        <w:rPr>
          <w:rFonts w:hint="eastAsia" w:ascii="仿宋_GB2312" w:hAnsi="仿宋" w:eastAsia="仿宋_GB2312" w:cs="仿宋"/>
          <w:kern w:val="0"/>
          <w:sz w:val="32"/>
          <w:szCs w:val="32"/>
          <w:lang w:bidi="ar"/>
        </w:rPr>
        <w:t>。</w:t>
      </w:r>
    </w:p>
    <w:p w14:paraId="53F8AA7B">
      <w:pPr>
        <w:widowControl/>
        <w:spacing w:line="600" w:lineRule="exact"/>
        <w:ind w:firstLine="640" w:firstLineChars="200"/>
        <w:jc w:val="left"/>
        <w:rPr>
          <w:rFonts w:hint="eastAsia" w:eastAsia="仿宋_GB2312" w:cstheme="minorBidi"/>
          <w:sz w:val="32"/>
          <w:szCs w:val="32"/>
          <w:highlight w:val="none"/>
        </w:rPr>
      </w:pPr>
      <w:r>
        <w:rPr>
          <w:rFonts w:hint="eastAsia" w:ascii="楷体_GB2312" w:hAnsi="仿宋" w:eastAsia="楷体_GB2312" w:cs="仿宋"/>
          <w:bCs/>
          <w:color w:val="auto"/>
          <w:kern w:val="0"/>
          <w:sz w:val="32"/>
          <w:szCs w:val="32"/>
          <w:lang w:bidi="ar"/>
        </w:rPr>
        <w:t>（二）局属单位设置</w:t>
      </w:r>
    </w:p>
    <w:p w14:paraId="7F5E4132">
      <w:pPr>
        <w:numPr>
          <w:ilvl w:val="0"/>
          <w:numId w:val="0"/>
        </w:numPr>
        <w:spacing w:line="600" w:lineRule="exact"/>
        <w:rPr>
          <w:rFonts w:ascii="仿宋_GB2312" w:hAnsi="仿宋_GB2312" w:eastAsia="仿宋_GB2312" w:cs="仿宋_GB2312"/>
          <w:b/>
          <w:bCs/>
          <w:sz w:val="32"/>
          <w:szCs w:val="32"/>
          <w:highlight w:val="none"/>
        </w:rPr>
      </w:pPr>
      <w:r>
        <w:rPr>
          <w:rFonts w:hint="eastAsia" w:ascii="仿宋_GB2312" w:hAnsi="楷体_GB2312" w:eastAsia="仿宋_GB2312" w:cs="楷体_GB2312"/>
          <w:color w:val="auto"/>
          <w:sz w:val="32"/>
          <w:szCs w:val="32"/>
        </w:rPr>
        <w:t>纳入本单位</w:t>
      </w:r>
      <w:r>
        <w:rPr>
          <w:rFonts w:hint="eastAsia" w:ascii="仿宋_GB2312" w:hAnsi="楷体_GB2312" w:eastAsia="仿宋_GB2312" w:cs="楷体_GB2312"/>
          <w:color w:val="auto"/>
          <w:sz w:val="32"/>
          <w:szCs w:val="32"/>
          <w:lang w:val="en-US" w:eastAsia="zh-CN"/>
        </w:rPr>
        <w:t>2026</w:t>
      </w:r>
      <w:r>
        <w:rPr>
          <w:rFonts w:hint="eastAsia" w:ascii="仿宋_GB2312" w:hAnsi="楷体_GB2312" w:eastAsia="仿宋_GB2312" w:cs="楷体_GB2312"/>
          <w:color w:val="auto"/>
          <w:sz w:val="32"/>
          <w:szCs w:val="32"/>
          <w:lang w:eastAsia="zh-CN"/>
        </w:rPr>
        <w:t>年</w:t>
      </w:r>
      <w:r>
        <w:rPr>
          <w:rFonts w:hint="eastAsia" w:ascii="仿宋_GB2312" w:hAnsi="楷体_GB2312" w:eastAsia="仿宋_GB2312" w:cs="楷体_GB2312"/>
          <w:color w:val="auto"/>
          <w:sz w:val="32"/>
          <w:szCs w:val="32"/>
        </w:rPr>
        <w:t>部门预算编制范围的单位情况如下</w:t>
      </w:r>
      <w:r>
        <w:rPr>
          <w:rFonts w:hint="eastAsia" w:eastAsia="仿宋_GB2312" w:cstheme="minorBidi"/>
          <w:sz w:val="32"/>
          <w:szCs w:val="32"/>
          <w:highlight w:val="none"/>
        </w:rPr>
        <w:t>：</w:t>
      </w:r>
    </w:p>
    <w:tbl>
      <w:tblPr>
        <w:tblStyle w:val="8"/>
        <w:tblW w:w="9314" w:type="dxa"/>
        <w:tblInd w:w="48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03"/>
        <w:gridCol w:w="3780"/>
        <w:gridCol w:w="3740"/>
      </w:tblGrid>
      <w:tr w14:paraId="193EA0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3" w:hRule="atLeast"/>
        </w:trPr>
        <w:tc>
          <w:tcPr>
            <w:tcW w:w="1203" w:type="dxa"/>
          </w:tcPr>
          <w:p w14:paraId="6D26588A">
            <w:pPr>
              <w:widowControl/>
              <w:jc w:val="center"/>
              <w:rPr>
                <w:rFonts w:hint="eastAsia" w:ascii="Times New Roman" w:hAnsi="Times New Roman" w:eastAsia="仿宋_GB2312"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序号</w:t>
            </w:r>
          </w:p>
        </w:tc>
        <w:tc>
          <w:tcPr>
            <w:tcW w:w="3780" w:type="dxa"/>
          </w:tcPr>
          <w:p w14:paraId="731F9327">
            <w:pPr>
              <w:widowControl/>
              <w:jc w:val="center"/>
              <w:rPr>
                <w:rFonts w:hint="eastAsia" w:ascii="Times New Roman" w:hAnsi="Times New Roman" w:eastAsia="仿宋_GB2312"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单位名称</w:t>
            </w:r>
          </w:p>
        </w:tc>
        <w:tc>
          <w:tcPr>
            <w:tcW w:w="3740" w:type="dxa"/>
          </w:tcPr>
          <w:p w14:paraId="1D5D2419">
            <w:pPr>
              <w:widowControl/>
              <w:jc w:val="center"/>
              <w:rPr>
                <w:rFonts w:hint="eastAsia" w:ascii="Times New Roman" w:hAnsi="Times New Roman" w:eastAsia="仿宋_GB2312"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单位性质</w:t>
            </w:r>
          </w:p>
        </w:tc>
      </w:tr>
      <w:tr w14:paraId="4E0519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203" w:type="dxa"/>
          </w:tcPr>
          <w:p w14:paraId="1299C123">
            <w:pPr>
              <w:widowControl/>
              <w:jc w:val="center"/>
              <w:rPr>
                <w:rFonts w:hint="eastAsia" w:ascii="Times New Roman" w:hAnsi="Times New Roman" w:eastAsia="仿宋_GB2312"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1</w:t>
            </w:r>
          </w:p>
        </w:tc>
        <w:tc>
          <w:tcPr>
            <w:tcW w:w="3780" w:type="dxa"/>
          </w:tcPr>
          <w:p w14:paraId="2F93108A">
            <w:pPr>
              <w:widowControl/>
              <w:jc w:val="center"/>
              <w:rPr>
                <w:rFonts w:hint="eastAsia" w:ascii="Times New Roman" w:hAnsi="Times New Roman" w:eastAsia="仿宋_GB2312" w:cs="仿宋"/>
                <w:color w:val="000000"/>
                <w:kern w:val="0"/>
                <w:sz w:val="31"/>
                <w:szCs w:val="31"/>
                <w:highlight w:val="none"/>
                <w:lang w:val="en-US" w:bidi="ar"/>
              </w:rPr>
            </w:pPr>
            <w:r>
              <w:rPr>
                <w:rFonts w:hint="eastAsia" w:ascii="Times New Roman" w:hAnsi="Times New Roman" w:eastAsia="仿宋_GB2312" w:cs="仿宋"/>
                <w:color w:val="000000"/>
                <w:kern w:val="0"/>
                <w:sz w:val="31"/>
                <w:szCs w:val="31"/>
                <w:highlight w:val="none"/>
                <w:lang w:val="en-US" w:bidi="ar"/>
              </w:rPr>
              <w:t>乌海市职业技术学校</w:t>
            </w:r>
          </w:p>
        </w:tc>
        <w:tc>
          <w:tcPr>
            <w:tcW w:w="3740" w:type="dxa"/>
          </w:tcPr>
          <w:p w14:paraId="37EE5A25">
            <w:pPr>
              <w:widowControl/>
              <w:jc w:val="center"/>
              <w:rPr>
                <w:rFonts w:hint="eastAsia" w:ascii="Times New Roman" w:hAnsi="Times New Roman" w:eastAsia="仿宋_GB2312" w:cs="仿宋"/>
                <w:color w:val="000000"/>
                <w:kern w:val="0"/>
                <w:sz w:val="31"/>
                <w:szCs w:val="31"/>
                <w:highlight w:val="none"/>
                <w:lang w:val="en-US" w:bidi="ar"/>
              </w:rPr>
            </w:pPr>
            <w:r>
              <w:rPr>
                <w:rFonts w:hint="eastAsia" w:ascii="Times New Roman" w:hAnsi="Times New Roman" w:eastAsia="仿宋_GB2312" w:cs="仿宋"/>
                <w:color w:val="000000"/>
                <w:kern w:val="0"/>
                <w:sz w:val="31"/>
                <w:szCs w:val="31"/>
                <w:highlight w:val="none"/>
                <w:lang w:val="en-US" w:bidi="ar"/>
              </w:rPr>
              <w:t>公益二类事业单位</w:t>
            </w:r>
          </w:p>
        </w:tc>
      </w:tr>
    </w:tbl>
    <w:p w14:paraId="0158A66A">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eastAsia="黑体" w:cs="黑体"/>
          <w:sz w:val="32"/>
          <w:szCs w:val="36"/>
          <w:highlight w:val="none"/>
          <w:lang w:val="en-US" w:eastAsia="zh-CN"/>
        </w:rPr>
      </w:pPr>
      <w:r>
        <w:rPr>
          <w:rFonts w:hint="eastAsia" w:ascii="楷体_GB2312" w:hAnsi="仿宋" w:eastAsia="楷体_GB2312" w:cs="仿宋"/>
          <w:bCs/>
          <w:color w:val="auto"/>
          <w:kern w:val="0"/>
          <w:sz w:val="32"/>
          <w:szCs w:val="32"/>
          <w:lang w:bidi="ar"/>
        </w:rPr>
        <w:t>（三）乌海市职业技术学校所属单位机构及人员基本情况</w:t>
      </w:r>
    </w:p>
    <w:p w14:paraId="3EA3B641">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contextualSpacing/>
        <w:textAlignment w:val="auto"/>
        <w:rPr>
          <w:rFonts w:hint="eastAsia" w:ascii="仿宋_GB2312" w:hAnsi="楷体_GB2312" w:eastAsia="仿宋_GB2312" w:cs="楷体_GB2312"/>
          <w:kern w:val="2"/>
          <w:sz w:val="32"/>
          <w:szCs w:val="32"/>
          <w:highlight w:val="none"/>
          <w:lang w:val="en-US" w:eastAsia="zh-CN" w:bidi="ar-SA"/>
        </w:rPr>
      </w:pPr>
      <w:r>
        <w:rPr>
          <w:rFonts w:hint="eastAsia" w:ascii="仿宋_GB2312" w:hAnsi="楷体_GB2312" w:eastAsia="仿宋_GB2312" w:cs="楷体_GB2312"/>
          <w:color w:val="auto"/>
          <w:sz w:val="32"/>
          <w:szCs w:val="32"/>
          <w:highlight w:val="none"/>
          <w:lang w:val="en-US" w:eastAsia="zh-CN"/>
        </w:rPr>
        <w:t>1</w:t>
      </w:r>
      <w:r>
        <w:rPr>
          <w:rFonts w:hint="eastAsia" w:ascii="仿宋_GB2312" w:hAnsi="楷体_GB2312" w:eastAsia="仿宋_GB2312" w:cs="楷体_GB2312"/>
          <w:color w:val="auto"/>
          <w:sz w:val="32"/>
          <w:szCs w:val="32"/>
          <w:highlight w:val="none"/>
        </w:rPr>
        <w:t>.</w:t>
      </w:r>
      <w:r>
        <w:rPr>
          <w:rFonts w:hint="eastAsia" w:ascii="仿宋_GB2312" w:hAnsi="楷体_GB2312" w:eastAsia="仿宋_GB2312" w:cs="楷体_GB2312"/>
          <w:kern w:val="2"/>
          <w:sz w:val="32"/>
          <w:szCs w:val="32"/>
          <w:highlight w:val="none"/>
          <w:lang w:val="en-US" w:eastAsia="zh-CN" w:bidi="ar-SA"/>
        </w:rPr>
        <w:t>乌海市职业技术学校单位。非独立核算公益二类事业单位，事业编制210个，工勤编制1个；实有人员195人，比上年减少1人，减少的原因为本年新增6人，退休2人。离退休职工264人，比上年增加3人。</w:t>
      </w:r>
    </w:p>
    <w:p w14:paraId="031D60D1">
      <w:pPr>
        <w:numPr>
          <w:ilvl w:val="0"/>
          <w:numId w:val="0"/>
        </w:numPr>
        <w:spacing w:line="600" w:lineRule="exact"/>
        <w:ind w:leftChars="203"/>
        <w:outlineLvl w:val="2"/>
        <w:rPr>
          <w:rFonts w:hint="eastAsia" w:eastAsia="黑体" w:cs="黑体"/>
          <w:sz w:val="32"/>
          <w:szCs w:val="36"/>
          <w:highlight w:val="none"/>
        </w:rPr>
      </w:pPr>
      <w:r>
        <w:rPr>
          <w:rFonts w:hint="eastAsia" w:eastAsia="黑体" w:cs="黑体"/>
          <w:sz w:val="32"/>
          <w:szCs w:val="36"/>
          <w:highlight w:val="none"/>
          <w:lang w:val="en-US" w:eastAsia="zh-CN"/>
        </w:rPr>
        <w:t>三、</w:t>
      </w:r>
      <w:r>
        <w:rPr>
          <w:rFonts w:hint="eastAsia" w:eastAsia="黑体" w:cs="黑体"/>
          <w:sz w:val="32"/>
          <w:szCs w:val="36"/>
          <w:highlight w:val="none"/>
        </w:rPr>
        <w:t>单位主要工作任务及目标</w:t>
      </w:r>
    </w:p>
    <w:p w14:paraId="3C733478">
      <w:pPr>
        <w:pStyle w:val="2"/>
        <w:numPr>
          <w:ilvl w:val="0"/>
          <w:numId w:val="0"/>
        </w:numPr>
        <w:spacing w:after="0" w:line="560" w:lineRule="exact"/>
        <w:ind w:left="0" w:leftChars="0" w:firstLine="640" w:firstLineChars="200"/>
        <w:rPr>
          <w:rFonts w:ascii="仿宋_GB2312" w:hAnsi="楷体_GB2312" w:eastAsia="仿宋_GB2312" w:cs="楷体_GB2312"/>
          <w:kern w:val="2"/>
          <w:sz w:val="32"/>
          <w:szCs w:val="32"/>
        </w:rPr>
      </w:pPr>
      <w:bookmarkStart w:id="1" w:name="_Toc21288"/>
      <w:r>
        <w:rPr>
          <w:rFonts w:hint="eastAsia" w:ascii="仿宋_GB2312" w:hAnsi="楷体_GB2312" w:eastAsia="仿宋_GB2312" w:cs="楷体_GB2312"/>
          <w:kern w:val="2"/>
          <w:sz w:val="32"/>
          <w:szCs w:val="32"/>
          <w:lang w:val="en-US" w:eastAsia="zh-CN" w:bidi="ar-SA"/>
        </w:rPr>
        <w:t>1.</w:t>
      </w:r>
      <w:r>
        <w:rPr>
          <w:rFonts w:ascii="仿宋_GB2312" w:hAnsi="楷体_GB2312" w:eastAsia="仿宋_GB2312" w:cs="楷体_GB2312"/>
          <w:kern w:val="2"/>
          <w:sz w:val="32"/>
          <w:szCs w:val="32"/>
        </w:rPr>
        <w:t>在上级党委的正确领导下，按照市委市政府和教育局的工作部署，提高党员凝聚力，加强党风廉政建设。</w:t>
      </w:r>
    </w:p>
    <w:p w14:paraId="3F531048">
      <w:pPr>
        <w:pStyle w:val="2"/>
        <w:numPr>
          <w:ilvl w:val="0"/>
          <w:numId w:val="0"/>
        </w:numPr>
        <w:spacing w:after="0" w:line="560" w:lineRule="exact"/>
        <w:ind w:left="0" w:leftChars="0" w:firstLine="640" w:firstLineChars="200"/>
        <w:rPr>
          <w:rFonts w:ascii="仿宋_GB2312" w:hAnsi="楷体_GB2312" w:eastAsia="仿宋_GB2312" w:cs="楷体_GB2312"/>
          <w:kern w:val="2"/>
          <w:sz w:val="32"/>
          <w:szCs w:val="32"/>
        </w:rPr>
      </w:pPr>
      <w:r>
        <w:rPr>
          <w:rFonts w:hint="eastAsia" w:ascii="仿宋_GB2312" w:hAnsi="楷体_GB2312" w:eastAsia="仿宋_GB2312" w:cs="楷体_GB2312"/>
          <w:kern w:val="2"/>
          <w:sz w:val="32"/>
          <w:szCs w:val="32"/>
          <w:lang w:val="en-US" w:eastAsia="zh-CN" w:bidi="ar-SA"/>
        </w:rPr>
        <w:t>2.</w:t>
      </w:r>
      <w:r>
        <w:rPr>
          <w:rFonts w:ascii="仿宋_GB2312" w:hAnsi="楷体_GB2312" w:eastAsia="仿宋_GB2312" w:cs="楷体_GB2312"/>
          <w:kern w:val="2"/>
          <w:sz w:val="32"/>
          <w:szCs w:val="32"/>
        </w:rPr>
        <w:t>围绕“课改”、“质量”、“创新”、“提升”的理念，多渠道优化教师队伍，培养双师型教师。</w:t>
      </w:r>
    </w:p>
    <w:p w14:paraId="2D88C513">
      <w:pPr>
        <w:pStyle w:val="2"/>
        <w:numPr>
          <w:ilvl w:val="0"/>
          <w:numId w:val="0"/>
        </w:numPr>
        <w:spacing w:after="0" w:line="560" w:lineRule="exact"/>
        <w:ind w:left="0" w:leftChars="0" w:firstLine="640" w:firstLineChars="200"/>
        <w:rPr>
          <w:rFonts w:ascii="仿宋_GB2312" w:hAnsi="楷体_GB2312" w:eastAsia="仿宋_GB2312" w:cs="楷体_GB2312"/>
          <w:kern w:val="2"/>
          <w:sz w:val="32"/>
          <w:szCs w:val="32"/>
        </w:rPr>
      </w:pPr>
      <w:r>
        <w:rPr>
          <w:rFonts w:hint="eastAsia" w:ascii="仿宋_GB2312" w:hAnsi="楷体_GB2312" w:eastAsia="仿宋_GB2312" w:cs="楷体_GB2312"/>
          <w:kern w:val="2"/>
          <w:sz w:val="32"/>
          <w:szCs w:val="32"/>
          <w:lang w:val="en-US" w:eastAsia="zh-CN" w:bidi="ar-SA"/>
        </w:rPr>
        <w:t>3.</w:t>
      </w:r>
      <w:r>
        <w:rPr>
          <w:rFonts w:ascii="仿宋_GB2312" w:hAnsi="楷体_GB2312" w:eastAsia="仿宋_GB2312" w:cs="楷体_GB2312"/>
          <w:kern w:val="2"/>
          <w:sz w:val="32"/>
          <w:szCs w:val="32"/>
        </w:rPr>
        <w:t>深化产教融合，校企合作，推进产教协同育人。强化专业建设，强化实践教学，参加各级各类技能大赛，努力建设“双优”专业及学校。</w:t>
      </w:r>
    </w:p>
    <w:p w14:paraId="236A5A48">
      <w:pPr>
        <w:pStyle w:val="2"/>
        <w:numPr>
          <w:ilvl w:val="0"/>
          <w:numId w:val="0"/>
        </w:numPr>
        <w:spacing w:after="0" w:line="560" w:lineRule="exact"/>
        <w:ind w:left="0" w:leftChars="0" w:firstLine="640" w:firstLineChars="200"/>
        <w:rPr>
          <w:rFonts w:ascii="仿宋_GB2312" w:hAnsi="楷体_GB2312" w:eastAsia="仿宋_GB2312" w:cs="楷体_GB2312"/>
          <w:kern w:val="2"/>
          <w:sz w:val="32"/>
          <w:szCs w:val="32"/>
        </w:rPr>
      </w:pPr>
    </w:p>
    <w:p w14:paraId="7875C9ED">
      <w:pPr>
        <w:pStyle w:val="5"/>
        <w:tabs>
          <w:tab w:val="left" w:pos="4392"/>
        </w:tabs>
        <w:adjustRightInd/>
        <w:snapToGrid/>
        <w:spacing w:before="0" w:after="0" w:line="600" w:lineRule="exact"/>
        <w:ind w:firstLine="0" w:firstLineChars="0"/>
        <w:jc w:val="center"/>
        <w:rPr>
          <w:rFonts w:hint="eastAsia" w:ascii="仿宋_GB2312" w:hAnsi="仿宋" w:eastAsia="仿宋_GB2312" w:cs="仿宋"/>
          <w:b/>
          <w:bCs/>
          <w:color w:val="auto"/>
          <w:kern w:val="0"/>
          <w:sz w:val="36"/>
          <w:szCs w:val="32"/>
          <w:lang w:val="en-US" w:eastAsia="zh-CN" w:bidi="ar"/>
        </w:rPr>
      </w:pPr>
      <w:r>
        <w:rPr>
          <w:rFonts w:hint="eastAsia" w:ascii="仿宋_GB2312" w:hAnsi="仿宋" w:eastAsia="仿宋_GB2312" w:cs="仿宋"/>
          <w:b/>
          <w:bCs/>
          <w:color w:val="auto"/>
          <w:kern w:val="0"/>
          <w:sz w:val="36"/>
          <w:szCs w:val="32"/>
          <w:lang w:val="en-US" w:eastAsia="zh-CN" w:bidi="ar"/>
        </w:rPr>
        <w:t>第二部分 2026年度单位预算安排情况说明</w:t>
      </w:r>
      <w:bookmarkEnd w:id="1"/>
    </w:p>
    <w:p w14:paraId="6A96AC40">
      <w:pPr>
        <w:spacing w:line="600" w:lineRule="exact"/>
        <w:rPr>
          <w:rFonts w:ascii="方正小标宋简体" w:hAnsi="方正小标宋简体" w:eastAsia="方正小标宋简体" w:cs="方正小标宋简体"/>
          <w:sz w:val="36"/>
          <w:szCs w:val="36"/>
          <w:highlight w:val="none"/>
        </w:rPr>
      </w:pPr>
    </w:p>
    <w:p w14:paraId="6A54B574">
      <w:pPr>
        <w:spacing w:line="600" w:lineRule="exact"/>
        <w:ind w:left="0" w:leftChars="0" w:firstLine="640" w:firstLineChars="200"/>
        <w:outlineLvl w:val="2"/>
        <w:rPr>
          <w:rFonts w:ascii="Times New Roman" w:hAnsi="Times New Roman" w:eastAsia="仿宋_GB2312" w:cs="仿宋"/>
          <w:sz w:val="32"/>
          <w:szCs w:val="32"/>
          <w:highlight w:val="none"/>
        </w:rPr>
      </w:pPr>
      <w:r>
        <w:rPr>
          <w:rFonts w:hint="eastAsia" w:eastAsia="黑体" w:cs="黑体"/>
          <w:sz w:val="32"/>
          <w:szCs w:val="36"/>
          <w:highlight w:val="none"/>
        </w:rPr>
        <w:t>一、</w:t>
      </w:r>
      <w:r>
        <w:rPr>
          <w:rFonts w:hint="eastAsia" w:eastAsia="黑体" w:cs="黑体"/>
          <w:sz w:val="32"/>
          <w:szCs w:val="36"/>
          <w:highlight w:val="none"/>
          <w:lang w:val="en-US" w:eastAsia="zh-CN"/>
        </w:rPr>
        <w:t>2026年单位</w:t>
      </w:r>
      <w:r>
        <w:rPr>
          <w:rFonts w:hint="eastAsia" w:eastAsia="黑体" w:cs="黑体"/>
          <w:sz w:val="32"/>
          <w:szCs w:val="36"/>
          <w:highlight w:val="none"/>
        </w:rPr>
        <w:t>预算收支总体情况说明</w:t>
      </w:r>
    </w:p>
    <w:p w14:paraId="548D9C02">
      <w:pPr>
        <w:pStyle w:val="6"/>
        <w:tabs>
          <w:tab w:val="left" w:pos="5840"/>
          <w:tab w:val="left" w:pos="7858"/>
          <w:tab w:val="left" w:pos="9328"/>
        </w:tabs>
        <w:spacing w:after="0" w:line="60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rPr>
        <w:t>乌海市职业技术学校单位2026年度收入、支出预算总计6</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623.99</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rPr>
        <w:t>与上年相比收、支预算总计</w:t>
      </w:r>
      <w:r>
        <w:rPr>
          <w:rFonts w:hint="eastAsia" w:ascii="仿宋_GB2312" w:hAnsi="仿宋_GB2312" w:eastAsia="仿宋_GB2312" w:cs="仿宋_GB2312"/>
          <w:sz w:val="32"/>
          <w:szCs w:val="32"/>
          <w:lang w:val="en-US" w:eastAsia="zh-CN"/>
        </w:rPr>
        <w:t>增加</w:t>
      </w:r>
      <w:r>
        <w:rPr>
          <w:rFonts w:hint="eastAsia" w:ascii="仿宋_GB2312" w:hAnsi="仿宋_GB2312" w:eastAsia="仿宋_GB2312" w:cs="仿宋_GB2312"/>
          <w:sz w:val="32"/>
          <w:szCs w:val="32"/>
        </w:rPr>
        <w:t>325.04万元，减少5.16%</w:t>
      </w:r>
      <w:r>
        <w:rPr>
          <w:rFonts w:hint="eastAsia" w:ascii="仿宋_GB2312" w:hAnsi="仿宋_GB2312" w:eastAsia="仿宋_GB2312" w:cs="仿宋_GB2312"/>
          <w:sz w:val="32"/>
          <w:szCs w:val="32"/>
          <w:highlight w:val="none"/>
        </w:rPr>
        <w:t>。其中：</w:t>
      </w:r>
    </w:p>
    <w:p w14:paraId="5DC8EDA4">
      <w:pPr>
        <w:pStyle w:val="6"/>
        <w:tabs>
          <w:tab w:val="left" w:pos="4275"/>
        </w:tabs>
        <w:spacing w:after="0" w:line="56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（一）收入预算总计</w:t>
      </w:r>
      <w:r>
        <w:rPr>
          <w:rFonts w:hint="eastAsia" w:ascii="楷体" w:hAnsi="楷体" w:eastAsia="楷体" w:cs="楷体"/>
          <w:b/>
          <w:bCs/>
          <w:sz w:val="32"/>
          <w:szCs w:val="32"/>
          <w:lang w:val="en-US" w:eastAsia="zh-CN"/>
        </w:rPr>
        <w:t>6</w:t>
      </w:r>
      <w:r>
        <w:rPr>
          <w:rFonts w:hint="eastAsia" w:ascii="楷体" w:hAnsi="楷体" w:eastAsia="楷体" w:cs="楷体"/>
          <w:b/>
          <w:bCs/>
          <w:sz w:val="32"/>
          <w:szCs w:val="32"/>
        </w:rPr>
        <w:t>,</w:t>
      </w:r>
      <w:r>
        <w:rPr>
          <w:rFonts w:hint="eastAsia" w:ascii="楷体" w:hAnsi="楷体" w:eastAsia="楷体" w:cs="楷体"/>
          <w:b/>
          <w:bCs/>
          <w:sz w:val="32"/>
          <w:szCs w:val="32"/>
          <w:lang w:val="en-US" w:eastAsia="zh-CN"/>
        </w:rPr>
        <w:t>623.99</w:t>
      </w:r>
      <w:r>
        <w:rPr>
          <w:rFonts w:hint="eastAsia" w:ascii="楷体" w:hAnsi="楷体" w:eastAsia="楷体" w:cs="楷体"/>
          <w:b/>
          <w:bCs/>
          <w:sz w:val="32"/>
          <w:szCs w:val="32"/>
        </w:rPr>
        <w:t>万元。包括：</w:t>
      </w:r>
    </w:p>
    <w:p w14:paraId="005184A0">
      <w:pPr>
        <w:pStyle w:val="6"/>
        <w:tabs>
          <w:tab w:val="left" w:pos="3792"/>
        </w:tabs>
        <w:spacing w:after="0"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highlight w:val="none"/>
        </w:rPr>
        <w:t>本年收入合计3,994.46万元。</w:t>
      </w:r>
    </w:p>
    <w:p w14:paraId="52598BA5">
      <w:pPr>
        <w:pStyle w:val="6"/>
        <w:tabs>
          <w:tab w:val="left" w:pos="3792"/>
        </w:tabs>
        <w:spacing w:after="0"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（1）一般公共预算拨款收入3,994.46万元，与上年相比减少791.24万元，减少16.53%。主要原因是</w:t>
      </w:r>
      <w:r>
        <w:rPr>
          <w:rFonts w:hint="eastAsia" w:ascii="仿宋_GB2312" w:hAnsi="仿宋_GB2312" w:eastAsia="仿宋_GB2312" w:cs="仿宋_GB2312"/>
          <w:sz w:val="32"/>
          <w:szCs w:val="32"/>
          <w:highlight w:val="none"/>
          <w:lang w:val="en-US" w:eastAsia="zh-CN"/>
        </w:rPr>
        <w:t>本年项目正在建设中，按工程进度申请拨款</w:t>
      </w:r>
      <w:r>
        <w:rPr>
          <w:rFonts w:hint="eastAsia" w:ascii="仿宋_GB2312" w:hAnsi="仿宋_GB2312" w:eastAsia="仿宋_GB2312" w:cs="仿宋_GB2312"/>
          <w:sz w:val="32"/>
          <w:szCs w:val="32"/>
          <w:highlight w:val="none"/>
        </w:rPr>
        <w:t>。</w:t>
      </w:r>
    </w:p>
    <w:p w14:paraId="504F2883">
      <w:pPr>
        <w:pStyle w:val="6"/>
        <w:tabs>
          <w:tab w:val="left" w:pos="3792"/>
        </w:tabs>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（2）政府性基金预算拨款收</w:t>
      </w:r>
      <w:bookmarkStart w:id="4" w:name="_GoBack"/>
      <w:bookmarkEnd w:id="4"/>
      <w:r>
        <w:rPr>
          <w:rFonts w:hint="eastAsia" w:ascii="仿宋_GB2312" w:hAnsi="仿宋_GB2312" w:eastAsia="仿宋_GB2312" w:cs="仿宋_GB2312"/>
          <w:sz w:val="32"/>
          <w:szCs w:val="32"/>
        </w:rPr>
        <w:t>入0万元，与上年相比增加0万元，增加0%。主要原因是不存在此项内容。</w:t>
      </w:r>
    </w:p>
    <w:p w14:paraId="07D1FD37">
      <w:pPr>
        <w:pStyle w:val="6"/>
        <w:tabs>
          <w:tab w:val="left" w:pos="3792"/>
        </w:tabs>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（3）国有资本经营预算拨款收入0万元，与上年相比增加0万元，增加0%。主要原因是不存在此项内容。</w:t>
      </w:r>
    </w:p>
    <w:p w14:paraId="1DEBCF5F">
      <w:pPr>
        <w:pStyle w:val="6"/>
        <w:tabs>
          <w:tab w:val="left" w:pos="3792"/>
        </w:tabs>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（4）财政专户管理资金收入0万元，与上年相比增加0万元，增加0%。主要原因是不存在此项内容。</w:t>
      </w:r>
    </w:p>
    <w:p w14:paraId="7A7F1F50">
      <w:pPr>
        <w:pStyle w:val="6"/>
        <w:tabs>
          <w:tab w:val="left" w:pos="3792"/>
        </w:tabs>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（5）事业收入0万元，与上年相比增加0万元，增加0%。主要原因是不存在此项内容。</w:t>
      </w:r>
    </w:p>
    <w:p w14:paraId="79E13BEA">
      <w:pPr>
        <w:pStyle w:val="6"/>
        <w:tabs>
          <w:tab w:val="left" w:pos="1389"/>
          <w:tab w:val="left" w:pos="4911"/>
          <w:tab w:val="left" w:pos="5900"/>
        </w:tabs>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（6）事业单位经营收入0万元，与上年相比增加0万元，增加0%。主要原因是不存在此项内容。</w:t>
      </w:r>
    </w:p>
    <w:p w14:paraId="50C489F3">
      <w:pPr>
        <w:pStyle w:val="6"/>
        <w:tabs>
          <w:tab w:val="left" w:pos="1389"/>
          <w:tab w:val="left" w:pos="4911"/>
          <w:tab w:val="left" w:pos="5900"/>
        </w:tabs>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（7）上级补助收入0万元，与上年相比增加0万元，增加0%。主要原因是不存在此项内容。</w:t>
      </w:r>
    </w:p>
    <w:p w14:paraId="1EED188E">
      <w:pPr>
        <w:pStyle w:val="6"/>
        <w:tabs>
          <w:tab w:val="left" w:pos="1389"/>
          <w:tab w:val="left" w:pos="4911"/>
          <w:tab w:val="left" w:pos="5900"/>
        </w:tabs>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（8）附属单位上缴收入0万元，与上年相比增加0万元，增加0%。主要原因是不存在此项内容。</w:t>
      </w:r>
    </w:p>
    <w:p w14:paraId="08D3BAEF">
      <w:pPr>
        <w:pStyle w:val="6"/>
        <w:tabs>
          <w:tab w:val="left" w:pos="1389"/>
          <w:tab w:val="left" w:pos="4911"/>
          <w:tab w:val="left" w:pos="5900"/>
        </w:tabs>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（9）其他收入0万元，与上年相比增加0万元，增加0%。主要原因是不存在此项内容。</w:t>
      </w:r>
    </w:p>
    <w:p w14:paraId="3DB710E8">
      <w:pPr>
        <w:pStyle w:val="6"/>
        <w:tabs>
          <w:tab w:val="left" w:pos="1389"/>
          <w:tab w:val="left" w:pos="4911"/>
          <w:tab w:val="left" w:pos="5900"/>
        </w:tabs>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2．上年结转结余为2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629.53万元。与上年相比增加1116.28万元，</w:t>
      </w:r>
      <w:r>
        <w:rPr>
          <w:rFonts w:hint="eastAsia" w:ascii="仿宋_GB2312" w:hAnsi="仿宋_GB2312" w:eastAsia="仿宋_GB2312" w:cs="仿宋_GB2312"/>
          <w:sz w:val="32"/>
          <w:szCs w:val="32"/>
          <w:lang w:val="en-US" w:eastAsia="zh-CN"/>
        </w:rPr>
        <w:t>增加73.77</w:t>
      </w:r>
      <w:r>
        <w:rPr>
          <w:rFonts w:hint="eastAsia" w:ascii="仿宋_GB2312" w:hAnsi="仿宋_GB2312" w:eastAsia="仿宋_GB2312" w:cs="仿宋_GB2312"/>
          <w:sz w:val="32"/>
          <w:szCs w:val="32"/>
        </w:rPr>
        <w:t>%。主要原因是本年结转内蒙古专项中等职业教育专项和现代质量提升专项，因上年度工程未完工，所以资金需要结转下年支付。</w:t>
      </w:r>
    </w:p>
    <w:p w14:paraId="16B12035">
      <w:pPr>
        <w:pStyle w:val="6"/>
        <w:tabs>
          <w:tab w:val="left" w:pos="4275"/>
        </w:tabs>
        <w:spacing w:after="0" w:line="56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（二）支出预算总计</w:t>
      </w:r>
      <w:r>
        <w:rPr>
          <w:rFonts w:hint="eastAsia" w:ascii="楷体" w:hAnsi="楷体" w:eastAsia="楷体" w:cs="楷体"/>
          <w:b/>
          <w:bCs/>
          <w:sz w:val="32"/>
          <w:szCs w:val="32"/>
          <w:lang w:val="en-US" w:eastAsia="zh-CN"/>
        </w:rPr>
        <w:t>6,623.99</w:t>
      </w:r>
      <w:r>
        <w:rPr>
          <w:rFonts w:hint="eastAsia" w:ascii="楷体" w:hAnsi="楷体" w:eastAsia="楷体" w:cs="楷体"/>
          <w:b/>
          <w:bCs/>
          <w:sz w:val="32"/>
          <w:szCs w:val="32"/>
        </w:rPr>
        <w:t>万元。包括：</w:t>
      </w:r>
    </w:p>
    <w:p w14:paraId="242D4482">
      <w:pPr>
        <w:pStyle w:val="6"/>
        <w:tabs>
          <w:tab w:val="left" w:pos="3792"/>
        </w:tabs>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1．本年支出合计</w:t>
      </w:r>
      <w:r>
        <w:rPr>
          <w:rFonts w:hint="eastAsia" w:ascii="仿宋_GB2312" w:hAnsi="仿宋_GB2312" w:eastAsia="仿宋_GB2312" w:cs="仿宋_GB2312"/>
          <w:sz w:val="32"/>
          <w:szCs w:val="32"/>
          <w:lang w:val="en-US" w:eastAsia="zh-CN"/>
        </w:rPr>
        <w:t>6,623.99</w:t>
      </w:r>
      <w:r>
        <w:rPr>
          <w:rFonts w:hint="eastAsia" w:ascii="仿宋_GB2312" w:hAnsi="仿宋_GB2312" w:eastAsia="仿宋_GB2312" w:cs="仿宋_GB2312"/>
          <w:sz w:val="32"/>
          <w:szCs w:val="32"/>
        </w:rPr>
        <w:t>万元。</w:t>
      </w:r>
    </w:p>
    <w:p w14:paraId="77A9EBFE">
      <w:pPr>
        <w:pStyle w:val="6"/>
        <w:tabs>
          <w:tab w:val="left" w:pos="3288"/>
          <w:tab w:val="left" w:pos="5641"/>
          <w:tab w:val="left" w:pos="6778"/>
        </w:tabs>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一般公共服务支出（类）48.64万元，主要用于单位工会经费。与上年相比减少8.64万元，减少15.09%。主要原因是本年结转内蒙古专项中等职业教育专项和现代质量提升专项，因上年度工程未完工，所以资金需要结转下年支付。</w:t>
      </w:r>
    </w:p>
    <w:p w14:paraId="51F0ACD8">
      <w:pPr>
        <w:pStyle w:val="6"/>
        <w:tabs>
          <w:tab w:val="left" w:pos="3288"/>
          <w:tab w:val="left" w:pos="5641"/>
          <w:tab w:val="left" w:pos="6778"/>
        </w:tabs>
        <w:spacing w:after="0"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（2）教育支出（类）</w:t>
      </w:r>
      <w:r>
        <w:rPr>
          <w:rFonts w:hint="eastAsia" w:ascii="仿宋_GB2312" w:hAnsi="仿宋_GB2312" w:eastAsia="仿宋_GB2312" w:cs="仿宋_GB2312"/>
          <w:sz w:val="32"/>
          <w:szCs w:val="32"/>
          <w:lang w:val="en-US" w:eastAsia="zh-CN"/>
        </w:rPr>
        <w:t>5,446.80</w:t>
      </w:r>
      <w:r>
        <w:rPr>
          <w:rFonts w:hint="eastAsia" w:ascii="仿宋_GB2312" w:hAnsi="仿宋_GB2312" w:eastAsia="仿宋_GB2312" w:cs="仿宋_GB2312"/>
          <w:sz w:val="32"/>
          <w:szCs w:val="32"/>
        </w:rPr>
        <w:t>万元，主要用于人员工资、其他社会保障、日常公用经费、遗属生活补助、助学金等。与上年相比增加468.33万元，增加9.41%。主要原因是</w:t>
      </w:r>
      <w:r>
        <w:rPr>
          <w:rFonts w:hint="eastAsia" w:ascii="仿宋_GB2312" w:hAnsi="仿宋_GB2312" w:eastAsia="仿宋_GB2312" w:cs="仿宋_GB2312"/>
          <w:color w:val="000000" w:themeColor="text1"/>
          <w:sz w:val="32"/>
          <w:szCs w:val="32"/>
          <w14:textFill>
            <w14:solidFill>
              <w14:schemeClr w14:val="tx1"/>
            </w14:solidFill>
          </w14:textFill>
        </w:rPr>
        <w:t>主要原因</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一</w:t>
      </w:r>
      <w:r>
        <w:rPr>
          <w:rFonts w:hint="eastAsia" w:ascii="仿宋_GB2312" w:hAnsi="仿宋_GB2312" w:eastAsia="仿宋_GB2312" w:cs="仿宋_GB2312"/>
          <w:color w:val="000000" w:themeColor="text1"/>
          <w:sz w:val="32"/>
          <w:szCs w:val="32"/>
          <w14:textFill>
            <w14:solidFill>
              <w14:schemeClr w14:val="tx1"/>
            </w14:solidFill>
          </w14:textFill>
        </w:rPr>
        <w:t>是本年新考入</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6</w:t>
      </w:r>
      <w:r>
        <w:rPr>
          <w:rFonts w:hint="eastAsia" w:ascii="仿宋_GB2312" w:hAnsi="仿宋_GB2312" w:eastAsia="仿宋_GB2312" w:cs="仿宋_GB2312"/>
          <w:color w:val="000000" w:themeColor="text1"/>
          <w:sz w:val="32"/>
          <w:szCs w:val="32"/>
          <w14:textFill>
            <w14:solidFill>
              <w14:schemeClr w14:val="tx1"/>
            </w14:solidFill>
          </w14:textFill>
        </w:rPr>
        <w:t>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所以经费增加。二是</w:t>
      </w:r>
      <w:r>
        <w:rPr>
          <w:rFonts w:hint="eastAsia" w:ascii="仿宋_GB2312" w:hAnsi="仿宋_GB2312" w:eastAsia="仿宋_GB2312" w:cs="仿宋_GB2312"/>
          <w:color w:val="000000" w:themeColor="text1"/>
          <w:sz w:val="32"/>
          <w:szCs w:val="32"/>
          <w14:textFill>
            <w14:solidFill>
              <w14:schemeClr w14:val="tx1"/>
            </w14:solidFill>
          </w14:textFill>
        </w:rPr>
        <w:t>本年乌海市职业技术学校分校区基础设施提升项目项目申报金额较上年增加，新增乌海市职业技术学校外聘兼职教师代课费项目</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三是</w:t>
      </w:r>
      <w:r>
        <w:rPr>
          <w:rFonts w:hint="eastAsia" w:ascii="仿宋_GB2312" w:hAnsi="仿宋_GB2312" w:eastAsia="仿宋_GB2312" w:cs="仿宋_GB2312"/>
          <w:color w:val="000000" w:themeColor="text1"/>
          <w:sz w:val="32"/>
          <w:szCs w:val="32"/>
          <w14:textFill>
            <w14:solidFill>
              <w14:schemeClr w14:val="tx1"/>
            </w14:solidFill>
          </w14:textFill>
        </w:rPr>
        <w:t>本年结转内蒙古专项中等职业教育专项和现代质量提升专项，因上年度工程未完工，所以资金需要结转下年支付</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p>
    <w:p w14:paraId="7D4FD9A2">
      <w:pPr>
        <w:pStyle w:val="6"/>
        <w:tabs>
          <w:tab w:val="left" w:pos="3288"/>
          <w:tab w:val="left" w:pos="5641"/>
          <w:tab w:val="left" w:pos="6778"/>
        </w:tabs>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社会保障和就业支出（类）672.1万元，主要用于离休人员工资、退休人员取暖费补贴及物业补贴款、基本养老保险缴费、职业年金缴费支出。与上年相比减少110.61万元，减少14.13%。主要原因是本年退休一人，养老保险职业年金等缴费基数较上年减少。</w:t>
      </w:r>
    </w:p>
    <w:p w14:paraId="17C1AD75">
      <w:pPr>
        <w:pStyle w:val="6"/>
        <w:tabs>
          <w:tab w:val="left" w:pos="3288"/>
          <w:tab w:val="left" w:pos="5641"/>
          <w:tab w:val="left" w:pos="6778"/>
        </w:tabs>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（4）卫生健康支出（类）175.56万元，主要用于职工基本医疗及医疗补助费用。与上年相比减少9.25万元，减少5%。主要原因是本年退休</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人，医疗保险缴费基数较上年减少。</w:t>
      </w:r>
    </w:p>
    <w:p w14:paraId="7B0CE21D">
      <w:pPr>
        <w:pStyle w:val="6"/>
        <w:tabs>
          <w:tab w:val="left" w:pos="3288"/>
          <w:tab w:val="left" w:pos="5641"/>
          <w:tab w:val="left" w:pos="6778"/>
        </w:tabs>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（5）住房保障支出（类）280.9万元，主要用于在职人员住房公积金缴费支出。与上年相比减少14.79万元，减少5%。主要原因是本年退休</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人，住房公积金缴费基数减少。</w:t>
      </w:r>
    </w:p>
    <w:p w14:paraId="48F3E200">
      <w:pPr>
        <w:pStyle w:val="6"/>
        <w:numPr>
          <w:ilvl w:val="0"/>
          <w:numId w:val="2"/>
        </w:numPr>
        <w:tabs>
          <w:tab w:val="left" w:pos="4112"/>
        </w:tabs>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年终结转结余为0万元，主要原因是不存在此项内容。</w:t>
      </w:r>
    </w:p>
    <w:p w14:paraId="5B7DA244">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二、收入预算情况说明</w:t>
      </w:r>
    </w:p>
    <w:p w14:paraId="29FBBE5D">
      <w:pPr>
        <w:pStyle w:val="6"/>
        <w:tabs>
          <w:tab w:val="left" w:pos="2671"/>
          <w:tab w:val="left" w:pos="5000"/>
          <w:tab w:val="left" w:pos="6190"/>
        </w:tabs>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乌海市职业技术学校单位2026年收入预算合计</w:t>
      </w:r>
      <w:r>
        <w:rPr>
          <w:rFonts w:hint="eastAsia" w:ascii="仿宋_GB2312" w:hAnsi="仿宋_GB2312" w:eastAsia="仿宋_GB2312" w:cs="仿宋_GB2312"/>
          <w:sz w:val="32"/>
          <w:szCs w:val="32"/>
          <w:lang w:val="en-US" w:eastAsia="zh-CN"/>
        </w:rPr>
        <w:t>6,623.99</w:t>
      </w:r>
      <w:r>
        <w:rPr>
          <w:rFonts w:hint="eastAsia" w:ascii="仿宋_GB2312" w:hAnsi="仿宋_GB2312" w:eastAsia="仿宋_GB2312" w:cs="仿宋_GB2312"/>
          <w:sz w:val="32"/>
          <w:szCs w:val="32"/>
        </w:rPr>
        <w:t>万元，包括本年收入3,994.46万元，上年结转结余</w:t>
      </w:r>
      <w:r>
        <w:rPr>
          <w:rFonts w:hint="eastAsia" w:ascii="仿宋_GB2312" w:hAnsi="仿宋_GB2312" w:eastAsia="仿宋_GB2312" w:cs="仿宋_GB2312"/>
          <w:sz w:val="32"/>
          <w:szCs w:val="32"/>
          <w:lang w:val="en-US" w:eastAsia="zh-CN"/>
        </w:rPr>
        <w:t>2629.53</w:t>
      </w:r>
      <w:r>
        <w:rPr>
          <w:rFonts w:hint="eastAsia" w:ascii="仿宋_GB2312" w:hAnsi="仿宋_GB2312" w:eastAsia="仿宋_GB2312" w:cs="仿宋_GB2312"/>
          <w:sz w:val="32"/>
          <w:szCs w:val="32"/>
        </w:rPr>
        <w:t>万元。</w:t>
      </w:r>
    </w:p>
    <w:p w14:paraId="39C2BA7F">
      <w:pPr>
        <w:pStyle w:val="6"/>
        <w:tabs>
          <w:tab w:val="left" w:pos="2671"/>
          <w:tab w:val="left" w:pos="5000"/>
          <w:tab w:val="left" w:pos="6190"/>
        </w:tabs>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其中：</w:t>
      </w:r>
    </w:p>
    <w:p w14:paraId="7E796343">
      <w:pPr>
        <w:pStyle w:val="6"/>
        <w:tabs>
          <w:tab w:val="left" w:pos="2671"/>
          <w:tab w:val="left" w:pos="5000"/>
          <w:tab w:val="left" w:pos="6190"/>
        </w:tabs>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本年一般公共预算收入3,994.46万元，占</w:t>
      </w:r>
      <w:r>
        <w:rPr>
          <w:rFonts w:hint="eastAsia" w:ascii="仿宋_GB2312" w:hAnsi="仿宋_GB2312" w:eastAsia="仿宋_GB2312" w:cs="仿宋_GB2312"/>
          <w:sz w:val="32"/>
          <w:szCs w:val="32"/>
          <w:lang w:val="en-US" w:eastAsia="zh-CN"/>
        </w:rPr>
        <w:t>60.30</w:t>
      </w:r>
      <w:r>
        <w:rPr>
          <w:rFonts w:hint="eastAsia" w:ascii="仿宋_GB2312" w:hAnsi="仿宋_GB2312" w:eastAsia="仿宋_GB2312" w:cs="仿宋_GB2312"/>
          <w:sz w:val="32"/>
          <w:szCs w:val="32"/>
        </w:rPr>
        <w:t>%；</w:t>
      </w:r>
    </w:p>
    <w:p w14:paraId="331AB845">
      <w:pPr>
        <w:pStyle w:val="6"/>
        <w:tabs>
          <w:tab w:val="left" w:pos="2671"/>
          <w:tab w:val="left" w:pos="5000"/>
          <w:tab w:val="left" w:pos="6190"/>
        </w:tabs>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本年国有资本经营预算收入0万元，占0%；</w:t>
      </w:r>
    </w:p>
    <w:p w14:paraId="6CDACF39">
      <w:pPr>
        <w:pStyle w:val="6"/>
        <w:tabs>
          <w:tab w:val="left" w:pos="2671"/>
          <w:tab w:val="left" w:pos="5000"/>
          <w:tab w:val="left" w:pos="6190"/>
        </w:tabs>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本年财政专户管理资金0万元，占0%；</w:t>
      </w:r>
    </w:p>
    <w:p w14:paraId="5F24267D">
      <w:pPr>
        <w:pStyle w:val="6"/>
        <w:tabs>
          <w:tab w:val="left" w:pos="2671"/>
          <w:tab w:val="left" w:pos="5000"/>
          <w:tab w:val="left" w:pos="6190"/>
        </w:tabs>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本年事业收入0万元，占0%；</w:t>
      </w:r>
    </w:p>
    <w:p w14:paraId="19B27683">
      <w:pPr>
        <w:pStyle w:val="6"/>
        <w:tabs>
          <w:tab w:val="left" w:pos="2671"/>
          <w:tab w:val="left" w:pos="5000"/>
          <w:tab w:val="left" w:pos="6190"/>
        </w:tabs>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本年事业单位经营收入0万元，占0%；</w:t>
      </w:r>
    </w:p>
    <w:p w14:paraId="110A8283">
      <w:pPr>
        <w:pStyle w:val="6"/>
        <w:tabs>
          <w:tab w:val="left" w:pos="2671"/>
          <w:tab w:val="left" w:pos="5000"/>
          <w:tab w:val="left" w:pos="6190"/>
        </w:tabs>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本年上级补助收入0万元，占0%；</w:t>
      </w:r>
    </w:p>
    <w:p w14:paraId="49B5100D">
      <w:pPr>
        <w:pStyle w:val="6"/>
        <w:tabs>
          <w:tab w:val="left" w:pos="2671"/>
          <w:tab w:val="left" w:pos="5000"/>
          <w:tab w:val="left" w:pos="6190"/>
        </w:tabs>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本年附属单位上缴收入0万元，占0%；</w:t>
      </w:r>
    </w:p>
    <w:p w14:paraId="5DD54566">
      <w:pPr>
        <w:pStyle w:val="6"/>
        <w:tabs>
          <w:tab w:val="left" w:pos="2671"/>
          <w:tab w:val="left" w:pos="5000"/>
          <w:tab w:val="left" w:pos="6190"/>
        </w:tabs>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本年其他收入0万元，占0%；</w:t>
      </w:r>
    </w:p>
    <w:p w14:paraId="1D1A7323">
      <w:pPr>
        <w:pStyle w:val="6"/>
        <w:tabs>
          <w:tab w:val="left" w:pos="2671"/>
          <w:tab w:val="left" w:pos="5000"/>
          <w:tab w:val="left" w:pos="6190"/>
        </w:tabs>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上年结转结余的一般公共预算收入</w:t>
      </w:r>
      <w:r>
        <w:rPr>
          <w:rFonts w:hint="eastAsia" w:ascii="仿宋_GB2312" w:hAnsi="仿宋_GB2312" w:eastAsia="仿宋_GB2312" w:cs="仿宋_GB2312"/>
          <w:sz w:val="32"/>
          <w:szCs w:val="32"/>
          <w:lang w:val="en-US" w:eastAsia="zh-CN"/>
        </w:rPr>
        <w:t>2629.53</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39.70</w:t>
      </w:r>
      <w:r>
        <w:rPr>
          <w:rFonts w:hint="eastAsia" w:ascii="仿宋_GB2312" w:hAnsi="仿宋_GB2312" w:eastAsia="仿宋_GB2312" w:cs="仿宋_GB2312"/>
          <w:sz w:val="32"/>
          <w:szCs w:val="32"/>
        </w:rPr>
        <w:t>%；</w:t>
      </w:r>
    </w:p>
    <w:p w14:paraId="28AB32C7">
      <w:pPr>
        <w:pStyle w:val="6"/>
        <w:tabs>
          <w:tab w:val="left" w:pos="2671"/>
          <w:tab w:val="left" w:pos="5000"/>
          <w:tab w:val="left" w:pos="6190"/>
        </w:tabs>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上年结转结余的政府性基金预算收入0万元，占0%；</w:t>
      </w:r>
    </w:p>
    <w:p w14:paraId="04FC709B">
      <w:pPr>
        <w:pStyle w:val="6"/>
        <w:tabs>
          <w:tab w:val="left" w:pos="2671"/>
          <w:tab w:val="left" w:pos="5000"/>
          <w:tab w:val="left" w:pos="6190"/>
        </w:tabs>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上年结转结余的国有资本经营预算收入0万元，占0%；</w:t>
      </w:r>
    </w:p>
    <w:p w14:paraId="6B0F9FB7">
      <w:pPr>
        <w:pStyle w:val="6"/>
        <w:tabs>
          <w:tab w:val="left" w:pos="2671"/>
          <w:tab w:val="left" w:pos="5000"/>
          <w:tab w:val="left" w:pos="6190"/>
        </w:tabs>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上年结转结余的财政专户管理资金0万元，占0%；</w:t>
      </w:r>
    </w:p>
    <w:p w14:paraId="6677DE9C">
      <w:pPr>
        <w:pStyle w:val="6"/>
        <w:tabs>
          <w:tab w:val="left" w:pos="2671"/>
          <w:tab w:val="left" w:pos="5000"/>
          <w:tab w:val="left" w:pos="6190"/>
        </w:tabs>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上年结转结余的单位资金0万元，占0%；</w:t>
      </w:r>
    </w:p>
    <w:p w14:paraId="0B0B8E8F">
      <w:pPr>
        <w:pStyle w:val="2"/>
        <w:tabs>
          <w:tab w:val="left" w:pos="0"/>
        </w:tabs>
        <w:ind w:left="0" w:leftChars="0" w:firstLine="0"/>
        <w:jc w:val="center"/>
        <w:rPr>
          <w:rFonts w:hint="eastAsia" w:eastAsia="仿宋_GB2312"/>
          <w:sz w:val="32"/>
          <w:szCs w:val="32"/>
          <w:highlight w:val="none"/>
          <w:lang w:eastAsia="zh-CN"/>
        </w:rPr>
      </w:pPr>
      <w:r>
        <w:rPr>
          <w:rFonts w:hint="eastAsia" w:eastAsia="仿宋_GB2312"/>
          <w:sz w:val="32"/>
          <w:szCs w:val="32"/>
          <w:highlight w:val="none"/>
          <w:lang w:eastAsia="zh-CN"/>
        </w:rPr>
        <w:drawing>
          <wp:inline distT="0" distB="0" distL="114300" distR="114300">
            <wp:extent cx="5256530" cy="2988310"/>
            <wp:effectExtent l="5080" t="4445" r="6350" b="8255"/>
            <wp:docPr id="2" name="图表 2" descr="7b0a202020202263686172745265734964223a20223230343735393537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39203547">
      <w:pPr>
        <w:pStyle w:val="2"/>
        <w:tabs>
          <w:tab w:val="left" w:pos="0"/>
        </w:tabs>
        <w:ind w:left="0" w:leftChars="0" w:firstLine="0"/>
        <w:jc w:val="center"/>
        <w:rPr>
          <w:rFonts w:hint="eastAsia" w:ascii="Times New Roman" w:hAnsi="Times New Roman" w:eastAsia="仿宋_GB2312" w:cs="仿宋"/>
          <w:sz w:val="32"/>
          <w:szCs w:val="32"/>
          <w:highlight w:val="none"/>
          <w:lang w:eastAsia="zh-CN"/>
        </w:rPr>
      </w:pPr>
      <w:r>
        <w:rPr>
          <w:rFonts w:eastAsia="仿宋_GB2312"/>
          <w:sz w:val="32"/>
          <w:szCs w:val="32"/>
          <w:highlight w:val="none"/>
        </w:rPr>
        <w:t>图1.收入预算图</w:t>
      </w:r>
    </w:p>
    <w:p w14:paraId="4F4CD43D">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三、支出预算情况说明</w:t>
      </w:r>
    </w:p>
    <w:p w14:paraId="60C00836">
      <w:pPr>
        <w:pStyle w:val="6"/>
        <w:tabs>
          <w:tab w:val="left" w:pos="2671"/>
          <w:tab w:val="left" w:pos="5000"/>
          <w:tab w:val="left" w:pos="6190"/>
        </w:tabs>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乌海市职业技术学校单位2026年支出预算合计</w:t>
      </w:r>
      <w:r>
        <w:rPr>
          <w:rFonts w:hint="eastAsia" w:ascii="仿宋_GB2312" w:hAnsi="仿宋_GB2312" w:eastAsia="仿宋_GB2312" w:cs="仿宋_GB2312"/>
          <w:sz w:val="32"/>
          <w:szCs w:val="32"/>
          <w:lang w:val="en-US" w:eastAsia="zh-CN"/>
        </w:rPr>
        <w:t>6,623.99</w:t>
      </w:r>
      <w:r>
        <w:rPr>
          <w:rFonts w:hint="eastAsia" w:ascii="仿宋_GB2312" w:hAnsi="仿宋_GB2312" w:eastAsia="仿宋_GB2312" w:cs="仿宋_GB2312"/>
          <w:sz w:val="32"/>
          <w:szCs w:val="32"/>
        </w:rPr>
        <w:t>万元，其中：</w:t>
      </w:r>
    </w:p>
    <w:p w14:paraId="4207E811">
      <w:pPr>
        <w:pStyle w:val="6"/>
        <w:tabs>
          <w:tab w:val="left" w:pos="2671"/>
          <w:tab w:val="left" w:pos="5000"/>
          <w:tab w:val="left" w:pos="6190"/>
        </w:tabs>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基本支出3,851.46万元，占</w:t>
      </w:r>
      <w:r>
        <w:rPr>
          <w:rFonts w:hint="eastAsia" w:ascii="仿宋_GB2312" w:hAnsi="仿宋_GB2312" w:eastAsia="仿宋_GB2312" w:cs="仿宋_GB2312"/>
          <w:sz w:val="32"/>
          <w:szCs w:val="32"/>
          <w:lang w:val="en-US" w:eastAsia="zh-CN"/>
        </w:rPr>
        <w:t>58.14</w:t>
      </w:r>
      <w:r>
        <w:rPr>
          <w:rFonts w:hint="eastAsia" w:ascii="仿宋_GB2312" w:hAnsi="仿宋_GB2312" w:eastAsia="仿宋_GB2312" w:cs="仿宋_GB2312"/>
          <w:sz w:val="32"/>
          <w:szCs w:val="32"/>
        </w:rPr>
        <w:t>%；</w:t>
      </w:r>
    </w:p>
    <w:p w14:paraId="0BAC522E">
      <w:pPr>
        <w:pStyle w:val="6"/>
        <w:tabs>
          <w:tab w:val="left" w:pos="2671"/>
          <w:tab w:val="left" w:pos="5000"/>
          <w:tab w:val="left" w:pos="6190"/>
        </w:tabs>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项目支出</w:t>
      </w:r>
      <w:r>
        <w:rPr>
          <w:rFonts w:hint="eastAsia" w:ascii="仿宋_GB2312" w:hAnsi="仿宋_GB2312" w:eastAsia="仿宋_GB2312" w:cs="仿宋_GB2312"/>
          <w:sz w:val="32"/>
          <w:szCs w:val="32"/>
          <w:lang w:val="en-US" w:eastAsia="zh-CN"/>
        </w:rPr>
        <w:t>2,772.53</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41.86</w:t>
      </w:r>
      <w:r>
        <w:rPr>
          <w:rFonts w:hint="eastAsia" w:ascii="仿宋_GB2312" w:hAnsi="仿宋_GB2312" w:eastAsia="仿宋_GB2312" w:cs="仿宋_GB2312"/>
          <w:sz w:val="32"/>
          <w:szCs w:val="32"/>
        </w:rPr>
        <w:t>%；</w:t>
      </w:r>
    </w:p>
    <w:p w14:paraId="59628454">
      <w:pPr>
        <w:pStyle w:val="6"/>
        <w:tabs>
          <w:tab w:val="left" w:pos="2671"/>
          <w:tab w:val="left" w:pos="5000"/>
          <w:tab w:val="left" w:pos="6190"/>
        </w:tabs>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事业单位经营支出0万元，占0%；</w:t>
      </w:r>
    </w:p>
    <w:p w14:paraId="7E105E1B">
      <w:pPr>
        <w:pStyle w:val="6"/>
        <w:tabs>
          <w:tab w:val="left" w:pos="2671"/>
          <w:tab w:val="left" w:pos="5000"/>
          <w:tab w:val="left" w:pos="6190"/>
        </w:tabs>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上缴上级支出0万元，占0%；</w:t>
      </w:r>
    </w:p>
    <w:p w14:paraId="2BCCFBD7">
      <w:pPr>
        <w:pStyle w:val="6"/>
        <w:tabs>
          <w:tab w:val="left" w:pos="2671"/>
          <w:tab w:val="left" w:pos="5000"/>
          <w:tab w:val="left" w:pos="6190"/>
        </w:tabs>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对附属单位补助支出0万元，占0%；</w:t>
      </w:r>
    </w:p>
    <w:p w14:paraId="69002020">
      <w:pPr>
        <w:pStyle w:val="2"/>
        <w:ind w:left="0" w:leftChars="0" w:firstLine="220"/>
        <w:jc w:val="center"/>
        <w:rPr>
          <w:rFonts w:hint="eastAsia" w:eastAsia="仿宋_GB2312"/>
          <w:sz w:val="32"/>
          <w:szCs w:val="32"/>
          <w:highlight w:val="none"/>
          <w:lang w:eastAsia="zh-CN"/>
        </w:rPr>
      </w:pPr>
      <w:r>
        <w:rPr>
          <w:rFonts w:hint="eastAsia" w:eastAsia="仿宋_GB2312"/>
          <w:sz w:val="32"/>
          <w:szCs w:val="32"/>
          <w:highlight w:val="none"/>
          <w:lang w:eastAsia="zh-CN"/>
        </w:rPr>
        <w:drawing>
          <wp:inline distT="0" distB="0" distL="114300" distR="114300">
            <wp:extent cx="5256530" cy="2988310"/>
            <wp:effectExtent l="5080" t="4445" r="6350" b="8255"/>
            <wp:docPr id="5" name="图表 5" descr="7b0a202020202263686172745265734964223a20223230343735393537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5A12E55">
      <w:pPr>
        <w:pStyle w:val="2"/>
        <w:ind w:left="0" w:leftChars="0" w:firstLine="220"/>
        <w:jc w:val="center"/>
        <w:rPr>
          <w:rFonts w:hint="default"/>
          <w:highlight w:val="yellow"/>
        </w:rPr>
      </w:pPr>
      <w:r>
        <w:rPr>
          <w:rFonts w:eastAsia="仿宋_GB2312"/>
          <w:sz w:val="32"/>
          <w:szCs w:val="32"/>
          <w:highlight w:val="none"/>
        </w:rPr>
        <w:t>图2.支出预算图</w:t>
      </w:r>
    </w:p>
    <w:p w14:paraId="01ADBB7E">
      <w:pPr>
        <w:pStyle w:val="6"/>
        <w:tabs>
          <w:tab w:val="left" w:pos="2671"/>
          <w:tab w:val="left" w:pos="5000"/>
          <w:tab w:val="left" w:pos="6190"/>
        </w:tabs>
        <w:spacing w:after="0" w:line="600" w:lineRule="exact"/>
        <w:ind w:firstLine="640" w:firstLineChars="200"/>
        <w:rPr>
          <w:rFonts w:hint="eastAsia" w:ascii="Times New Roman" w:hAnsi="Times New Roman" w:eastAsia="仿宋_GB2312" w:cs="仿宋"/>
          <w:sz w:val="32"/>
          <w:szCs w:val="32"/>
          <w:highlight w:val="none"/>
        </w:rPr>
      </w:pPr>
    </w:p>
    <w:p w14:paraId="623B2C21">
      <w:pPr>
        <w:spacing w:line="600" w:lineRule="exact"/>
        <w:ind w:left="6" w:leftChars="0" w:firstLine="633" w:firstLineChars="198"/>
        <w:outlineLvl w:val="2"/>
        <w:rPr>
          <w:rFonts w:eastAsia="黑体" w:cs="黑体"/>
          <w:sz w:val="32"/>
          <w:szCs w:val="36"/>
          <w:highlight w:val="none"/>
        </w:rPr>
      </w:pPr>
      <w:r>
        <w:rPr>
          <w:rFonts w:hint="eastAsia" w:eastAsia="黑体" w:cs="黑体"/>
          <w:sz w:val="32"/>
          <w:szCs w:val="36"/>
          <w:highlight w:val="none"/>
        </w:rPr>
        <w:t>四、财政拨款收支预算总体情况说明</w:t>
      </w:r>
    </w:p>
    <w:p w14:paraId="35C90F3D">
      <w:pPr>
        <w:pStyle w:val="6"/>
        <w:tabs>
          <w:tab w:val="left" w:pos="3288"/>
          <w:tab w:val="left" w:pos="5641"/>
          <w:tab w:val="left" w:pos="6778"/>
        </w:tabs>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乌海市职业技术学校单位2026年度财政拨款收、支总预算</w:t>
      </w:r>
      <w:r>
        <w:rPr>
          <w:rFonts w:hint="eastAsia" w:ascii="仿宋_GB2312" w:hAnsi="仿宋_GB2312" w:eastAsia="仿宋_GB2312" w:cs="仿宋_GB2312"/>
          <w:sz w:val="32"/>
          <w:szCs w:val="32"/>
          <w:lang w:val="en-US" w:eastAsia="zh-CN"/>
        </w:rPr>
        <w:t>6,623.99</w:t>
      </w:r>
      <w:r>
        <w:rPr>
          <w:rFonts w:hint="eastAsia" w:ascii="仿宋_GB2312" w:hAnsi="仿宋_GB2312" w:eastAsia="仿宋_GB2312" w:cs="仿宋_GB2312"/>
          <w:sz w:val="32"/>
          <w:szCs w:val="32"/>
        </w:rPr>
        <w:t>万元。其中本年收入安排一般公共预算财政拨款3994.46万元，占比60.3%；政府性基金预算财政拨款0万元，占比0%；国有资本经营预算0万元，占比0%；上年结转2629.53万元，占比39.7%。与上年相比，财政拨款收、支总计各减少791.24万元，减少16.53%。主要原因</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rPr>
        <w:t>是本年新考入</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val="en-US" w:eastAsia="zh-CN"/>
        </w:rPr>
        <w:t>所以经费增加。二是</w:t>
      </w:r>
      <w:r>
        <w:rPr>
          <w:rFonts w:hint="eastAsia" w:ascii="仿宋_GB2312" w:hAnsi="仿宋_GB2312" w:eastAsia="仿宋_GB2312" w:cs="仿宋_GB2312"/>
          <w:sz w:val="32"/>
          <w:szCs w:val="32"/>
        </w:rPr>
        <w:t>本年乌海市职业技术学校分校区基础设施提升项目项目申报金额较上年增加，新增乌海市职业技术学校外聘兼职教师代课费项目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三是</w:t>
      </w:r>
      <w:r>
        <w:rPr>
          <w:rFonts w:hint="eastAsia" w:ascii="仿宋_GB2312" w:hAnsi="仿宋_GB2312" w:eastAsia="仿宋_GB2312" w:cs="仿宋_GB2312"/>
          <w:sz w:val="32"/>
          <w:szCs w:val="32"/>
        </w:rPr>
        <w:t>本年结转内蒙古专项中等职业教育专项和现代质量提升专项，因上年度工程未完工，所以资金需要结转下年支付。</w:t>
      </w:r>
    </w:p>
    <w:p w14:paraId="037567A8">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五、一般公共预算支出预算情况说明</w:t>
      </w:r>
    </w:p>
    <w:p w14:paraId="44E9E699">
      <w:pPr>
        <w:pStyle w:val="6"/>
        <w:tabs>
          <w:tab w:val="left" w:pos="2671"/>
          <w:tab w:val="left" w:pos="5000"/>
          <w:tab w:val="left" w:pos="6190"/>
        </w:tabs>
        <w:spacing w:after="0" w:line="56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乌海市职业技术学校单位2026年一般公共预算财政拨款支出预算</w:t>
      </w:r>
      <w:r>
        <w:rPr>
          <w:rFonts w:hint="eastAsia" w:ascii="仿宋_GB2312" w:hAnsi="仿宋_GB2312" w:eastAsia="仿宋_GB2312" w:cs="仿宋_GB2312"/>
          <w:sz w:val="32"/>
          <w:szCs w:val="32"/>
          <w:lang w:val="en-US" w:eastAsia="zh-CN"/>
        </w:rPr>
        <w:t>6,623.99</w:t>
      </w:r>
      <w:r>
        <w:rPr>
          <w:rFonts w:hint="eastAsia" w:ascii="仿宋_GB2312" w:hAnsi="仿宋_GB2312" w:eastAsia="仿宋_GB2312" w:cs="仿宋_GB2312"/>
          <w:sz w:val="32"/>
          <w:szCs w:val="32"/>
        </w:rPr>
        <w:t>万元，与上年相比增加325.04万元，增加5.16%。主要原因</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一</w:t>
      </w:r>
      <w:r>
        <w:rPr>
          <w:rFonts w:hint="eastAsia" w:ascii="仿宋_GB2312" w:hAnsi="仿宋_GB2312" w:eastAsia="仿宋_GB2312" w:cs="仿宋_GB2312"/>
          <w:color w:val="000000" w:themeColor="text1"/>
          <w:sz w:val="32"/>
          <w:szCs w:val="32"/>
          <w14:textFill>
            <w14:solidFill>
              <w14:schemeClr w14:val="tx1"/>
            </w14:solidFill>
          </w14:textFill>
        </w:rPr>
        <w:t>是本年新考入</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6</w:t>
      </w:r>
      <w:r>
        <w:rPr>
          <w:rFonts w:hint="eastAsia" w:ascii="仿宋_GB2312" w:hAnsi="仿宋_GB2312" w:eastAsia="仿宋_GB2312" w:cs="仿宋_GB2312"/>
          <w:color w:val="000000" w:themeColor="text1"/>
          <w:sz w:val="32"/>
          <w:szCs w:val="32"/>
          <w14:textFill>
            <w14:solidFill>
              <w14:schemeClr w14:val="tx1"/>
            </w14:solidFill>
          </w14:textFill>
        </w:rPr>
        <w:t>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所以经费增加。二是</w:t>
      </w:r>
      <w:r>
        <w:rPr>
          <w:rFonts w:hint="eastAsia" w:ascii="仿宋_GB2312" w:hAnsi="仿宋_GB2312" w:eastAsia="仿宋_GB2312" w:cs="仿宋_GB2312"/>
          <w:color w:val="000000" w:themeColor="text1"/>
          <w:sz w:val="32"/>
          <w:szCs w:val="32"/>
          <w14:textFill>
            <w14:solidFill>
              <w14:schemeClr w14:val="tx1"/>
            </w14:solidFill>
          </w14:textFill>
        </w:rPr>
        <w:t>本年乌海市职业技术学校分校区基础设施提升项目项目申报金额较上年增加，新增乌海市职业技术学校外聘兼职教师代课费项目</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三是</w:t>
      </w:r>
      <w:r>
        <w:rPr>
          <w:rFonts w:hint="eastAsia" w:ascii="仿宋_GB2312" w:hAnsi="仿宋_GB2312" w:eastAsia="仿宋_GB2312" w:cs="仿宋_GB2312"/>
          <w:color w:val="000000" w:themeColor="text1"/>
          <w:sz w:val="32"/>
          <w:szCs w:val="32"/>
          <w14:textFill>
            <w14:solidFill>
              <w14:schemeClr w14:val="tx1"/>
            </w14:solidFill>
          </w14:textFill>
        </w:rPr>
        <w:t>本年结转内蒙古专项中等职业教育专项和现代质量提升专项，因上年度工程未完工，所以资金需要结转下年支付</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eastAsia="仿宋_GB2312"/>
          <w:sz w:val="32"/>
          <w:szCs w:val="32"/>
        </w:rPr>
        <w:t>具体情况如下：</w:t>
      </w:r>
    </w:p>
    <w:p w14:paraId="384E1CFF">
      <w:pPr>
        <w:pStyle w:val="6"/>
        <w:tabs>
          <w:tab w:val="left" w:pos="4275"/>
        </w:tabs>
        <w:spacing w:after="0" w:line="56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（一）一般公共服务支出（类）</w:t>
      </w:r>
    </w:p>
    <w:p w14:paraId="27BB42FF">
      <w:pPr>
        <w:pStyle w:val="6"/>
        <w:tabs>
          <w:tab w:val="left" w:pos="2671"/>
          <w:tab w:val="left" w:pos="5000"/>
          <w:tab w:val="left" w:pos="6190"/>
        </w:tabs>
        <w:spacing w:after="0"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一般公共服务支出（类）年初预算数为48.64万元，与上年相比减少8.64万元。其中：</w:t>
      </w:r>
    </w:p>
    <w:p w14:paraId="5605FABD">
      <w:pPr>
        <w:pStyle w:val="6"/>
        <w:tabs>
          <w:tab w:val="left" w:pos="2671"/>
          <w:tab w:val="left" w:pos="5000"/>
          <w:tab w:val="left" w:pos="6190"/>
        </w:tabs>
        <w:spacing w:after="0"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1.群众团体事务（款）其他群众团体事务支出（项）。年初预算48.64万元，与上年相比减少0.64万元，减少1.3%。变动原因是我单位退休一人，工会经费的提取比例较上年减少。</w:t>
      </w:r>
    </w:p>
    <w:p w14:paraId="32A898E3">
      <w:pPr>
        <w:pStyle w:val="6"/>
        <w:tabs>
          <w:tab w:val="left" w:pos="4275"/>
        </w:tabs>
        <w:spacing w:after="0" w:line="56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（二）教育支出（类）</w:t>
      </w:r>
    </w:p>
    <w:p w14:paraId="03CE9334">
      <w:pPr>
        <w:pStyle w:val="6"/>
        <w:tabs>
          <w:tab w:val="left" w:pos="2671"/>
          <w:tab w:val="left" w:pos="5000"/>
          <w:tab w:val="left" w:pos="6190"/>
        </w:tabs>
        <w:spacing w:after="0"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教育支出（类）年初预算数为</w:t>
      </w:r>
      <w:r>
        <w:rPr>
          <w:rFonts w:hint="eastAsia" w:ascii="仿宋_GB2312" w:hAnsi="仿宋_GB2312" w:eastAsia="仿宋_GB2312" w:cs="仿宋_GB2312"/>
          <w:sz w:val="32"/>
          <w:szCs w:val="32"/>
          <w:lang w:val="en-US" w:eastAsia="zh-CN"/>
        </w:rPr>
        <w:t>5,446.80</w:t>
      </w:r>
      <w:r>
        <w:rPr>
          <w:rFonts w:hint="eastAsia" w:ascii="仿宋_GB2312" w:hAnsi="仿宋_GB2312" w:eastAsia="仿宋_GB2312" w:cs="仿宋_GB2312"/>
          <w:sz w:val="32"/>
          <w:szCs w:val="32"/>
        </w:rPr>
        <w:t>万元，与上年相比减少468.33万元。其中：</w:t>
      </w:r>
    </w:p>
    <w:p w14:paraId="572A064A">
      <w:pPr>
        <w:pStyle w:val="6"/>
        <w:tabs>
          <w:tab w:val="left" w:pos="2671"/>
          <w:tab w:val="left" w:pos="5000"/>
          <w:tab w:val="left" w:pos="6190"/>
        </w:tabs>
        <w:spacing w:after="0" w:line="560" w:lineRule="exact"/>
        <w:ind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1.普通教育（款）高中教育（项）。年初预算46.3</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万元，与上年相比增加34.14万元，增加280.8%。变动原因是</w:t>
      </w:r>
      <w:r>
        <w:rPr>
          <w:rFonts w:hint="eastAsia" w:ascii="仿宋_GB2312" w:hAnsi="仿宋_GB2312" w:eastAsia="仿宋_GB2312" w:cs="仿宋_GB2312"/>
          <w:sz w:val="32"/>
          <w:szCs w:val="32"/>
          <w:lang w:val="en-US" w:eastAsia="zh-CN"/>
        </w:rPr>
        <w:t>上年度支出项目未达到付款条件，所以结转本年支出。</w:t>
      </w:r>
    </w:p>
    <w:p w14:paraId="2F2A5280">
      <w:pPr>
        <w:pStyle w:val="6"/>
        <w:spacing w:after="0" w:line="560" w:lineRule="exact"/>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2.普通教育（款）其他普通教育支出（项）。年初预算1.4万元，与上年相比增加1.4万元，增加100%。变动原因</w:t>
      </w:r>
      <w:r>
        <w:rPr>
          <w:rFonts w:hint="eastAsia" w:ascii="仿宋_GB2312" w:hAnsi="仿宋_GB2312" w:eastAsia="仿宋_GB2312" w:cs="仿宋_GB2312"/>
          <w:sz w:val="32"/>
          <w:szCs w:val="32"/>
          <w:lang w:val="en-US" w:eastAsia="zh-CN"/>
        </w:rPr>
        <w:t>一</w:t>
      </w:r>
      <w:r>
        <w:rPr>
          <w:rFonts w:hint="default" w:ascii="仿宋_GB2312" w:hAnsi="仿宋_GB2312" w:eastAsia="仿宋_GB2312" w:cs="仿宋_GB2312"/>
          <w:sz w:val="32"/>
          <w:szCs w:val="32"/>
          <w:lang w:val="en-US" w:eastAsia="zh-CN"/>
        </w:rPr>
        <w:t>是</w:t>
      </w:r>
      <w:r>
        <w:rPr>
          <w:rFonts w:hint="eastAsia" w:ascii="仿宋_GB2312" w:hAnsi="仿宋_GB2312" w:eastAsia="仿宋_GB2312" w:cs="仿宋_GB2312"/>
          <w:sz w:val="32"/>
          <w:szCs w:val="32"/>
        </w:rPr>
        <w:t>本年新考入</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val="en-US" w:eastAsia="zh-CN"/>
        </w:rPr>
        <w:t>所以经费增加。二是</w:t>
      </w:r>
      <w:r>
        <w:rPr>
          <w:rFonts w:hint="eastAsia" w:ascii="仿宋_GB2312" w:hAnsi="仿宋_GB2312" w:eastAsia="仿宋_GB2312" w:cs="仿宋_GB2312"/>
          <w:sz w:val="32"/>
          <w:szCs w:val="32"/>
        </w:rPr>
        <w:t>本年乌海市职业技术学校分校区基础设施提升项目项目申报金额较上年增加，新增乌海市职业技术学校外聘兼职教师代课费项目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三是</w:t>
      </w:r>
      <w:r>
        <w:rPr>
          <w:rFonts w:hint="eastAsia" w:ascii="仿宋_GB2312" w:hAnsi="仿宋_GB2312" w:eastAsia="仿宋_GB2312" w:cs="仿宋_GB2312"/>
          <w:sz w:val="32"/>
          <w:szCs w:val="32"/>
        </w:rPr>
        <w:t>本年结转内蒙古专项中等职业教育专项和现代质量提升专项，因上年度工程未完工，所以资金需要结转下年支付</w:t>
      </w:r>
    </w:p>
    <w:p w14:paraId="15D3C01E">
      <w:pPr>
        <w:pStyle w:val="6"/>
        <w:spacing w:after="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.职业教育（款）中等职业教育（项）。年初预算4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544.02万元，与上年相比减少</w:t>
      </w:r>
      <w:r>
        <w:rPr>
          <w:rFonts w:hint="eastAsia" w:ascii="仿宋_GB2312" w:hAnsi="仿宋_GB2312" w:eastAsia="仿宋_GB2312" w:cs="仿宋_GB2312"/>
          <w:sz w:val="32"/>
          <w:szCs w:val="32"/>
          <w:lang w:val="en-US" w:eastAsia="zh-CN"/>
        </w:rPr>
        <w:t>295.68</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6.1</w:t>
      </w:r>
      <w:r>
        <w:rPr>
          <w:rFonts w:hint="eastAsia" w:ascii="仿宋_GB2312" w:hAnsi="仿宋_GB2312" w:eastAsia="仿宋_GB2312" w:cs="仿宋_GB2312"/>
          <w:sz w:val="32"/>
          <w:szCs w:val="32"/>
        </w:rPr>
        <w:t>1%。变动原因是</w:t>
      </w:r>
      <w:r>
        <w:rPr>
          <w:rFonts w:hint="eastAsia" w:ascii="仿宋_GB2312" w:hAnsi="仿宋_GB2312" w:eastAsia="仿宋_GB2312" w:cs="仿宋_GB2312"/>
          <w:sz w:val="32"/>
          <w:szCs w:val="32"/>
          <w:lang w:val="en-US" w:eastAsia="zh-CN"/>
        </w:rPr>
        <w:t>年度支出项目未达到付款条件，所以结转本年支出</w:t>
      </w:r>
      <w:r>
        <w:rPr>
          <w:rFonts w:hint="eastAsia" w:ascii="仿宋_GB2312" w:hAnsi="仿宋_GB2312" w:eastAsia="仿宋_GB2312" w:cs="仿宋_GB2312"/>
          <w:sz w:val="32"/>
          <w:szCs w:val="32"/>
        </w:rPr>
        <w:t>。</w:t>
      </w:r>
    </w:p>
    <w:p w14:paraId="38D30208">
      <w:pPr>
        <w:pStyle w:val="6"/>
        <w:spacing w:after="0"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4.职业教育（款）技校教育（项）。年初预算28.89万元，与上年相比减少9.24万元，减少24.24%。变动原因是</w:t>
      </w:r>
      <w:r>
        <w:rPr>
          <w:rFonts w:hint="eastAsia" w:ascii="仿宋_GB2312" w:hAnsi="仿宋_GB2312" w:eastAsia="仿宋_GB2312" w:cs="仿宋_GB2312"/>
          <w:sz w:val="32"/>
          <w:szCs w:val="32"/>
          <w:lang w:val="en-US" w:eastAsia="zh-CN"/>
        </w:rPr>
        <w:t>上年度支出项目未达到付款条件，所以结转本年支出</w:t>
      </w:r>
    </w:p>
    <w:p w14:paraId="4C85A533">
      <w:pPr>
        <w:pStyle w:val="6"/>
        <w:spacing w:after="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.教育费附加安排的支出（款）其他教育费附加安排的支出（项）。年初预算</w:t>
      </w:r>
      <w:r>
        <w:rPr>
          <w:rFonts w:hint="eastAsia" w:ascii="仿宋_GB2312" w:hAnsi="仿宋_GB2312" w:eastAsia="仿宋_GB2312" w:cs="仿宋_GB2312"/>
          <w:sz w:val="32"/>
          <w:szCs w:val="32"/>
          <w:lang w:val="en-US" w:eastAsia="zh-CN"/>
        </w:rPr>
        <w:t>799.64</w:t>
      </w:r>
      <w:r>
        <w:rPr>
          <w:rFonts w:hint="eastAsia" w:ascii="仿宋_GB2312" w:hAnsi="仿宋_GB2312" w:eastAsia="仿宋_GB2312" w:cs="仿宋_GB2312"/>
          <w:sz w:val="32"/>
          <w:szCs w:val="32"/>
        </w:rPr>
        <w:t>万元，与上年相比740万元，增加1240.85%。变动原因是</w:t>
      </w:r>
      <w:r>
        <w:rPr>
          <w:rFonts w:hint="eastAsia" w:ascii="仿宋_GB2312" w:hAnsi="仿宋_GB2312" w:eastAsia="仿宋_GB2312" w:cs="仿宋_GB2312"/>
          <w:sz w:val="32"/>
          <w:szCs w:val="32"/>
          <w:lang w:val="en-US" w:eastAsia="zh-CN"/>
        </w:rPr>
        <w:t>结转上年</w:t>
      </w:r>
      <w:r>
        <w:rPr>
          <w:rFonts w:hint="eastAsia" w:ascii="仿宋_GB2312" w:hAnsi="仿宋_GB2312" w:eastAsia="仿宋_GB2312" w:cs="仿宋_GB2312"/>
          <w:sz w:val="32"/>
          <w:szCs w:val="32"/>
        </w:rPr>
        <w:t>市职校国家“职业教育提质培优行动计划”二期项目（2020-2023年）</w:t>
      </w:r>
      <w:r>
        <w:rPr>
          <w:rFonts w:hint="eastAsia" w:ascii="仿宋_GB2312" w:hAnsi="仿宋_GB2312" w:eastAsia="仿宋_GB2312" w:cs="仿宋_GB2312"/>
          <w:sz w:val="32"/>
          <w:szCs w:val="32"/>
          <w:lang w:val="en-US" w:eastAsia="zh-CN"/>
        </w:rPr>
        <w:t>的金额</w:t>
      </w:r>
      <w:r>
        <w:rPr>
          <w:rFonts w:hint="eastAsia" w:ascii="仿宋_GB2312" w:hAnsi="仿宋_GB2312" w:eastAsia="仿宋_GB2312" w:cs="仿宋_GB2312"/>
          <w:sz w:val="32"/>
          <w:szCs w:val="32"/>
        </w:rPr>
        <w:t>。</w:t>
      </w:r>
    </w:p>
    <w:p w14:paraId="54367B27">
      <w:pPr>
        <w:pStyle w:val="6"/>
        <w:spacing w:after="0"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6.其他教育支出（款）其他教育支出（项）。年初预算26.54万元，与上年相比减少2.3万元，减少7.96%。变动原因</w:t>
      </w:r>
      <w:r>
        <w:rPr>
          <w:rFonts w:hint="eastAsia" w:ascii="仿宋_GB2312" w:hAnsi="仿宋_GB2312" w:eastAsia="仿宋_GB2312" w:cs="仿宋_GB2312"/>
          <w:sz w:val="32"/>
          <w:szCs w:val="32"/>
          <w:lang w:val="en-US" w:eastAsia="zh-CN"/>
        </w:rPr>
        <w:t>是上年度支出项目未达到付款条件，所以结转本年支出。</w:t>
      </w:r>
    </w:p>
    <w:p w14:paraId="7B38EDC5">
      <w:pPr>
        <w:pStyle w:val="6"/>
        <w:tabs>
          <w:tab w:val="left" w:pos="4275"/>
        </w:tabs>
        <w:spacing w:after="0" w:line="56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（三）社会保障和就业支出（类）</w:t>
      </w:r>
    </w:p>
    <w:p w14:paraId="6AC89668">
      <w:pPr>
        <w:pStyle w:val="6"/>
        <w:spacing w:after="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社会保障和就业支出（类）年初预算数为672.1万元，与上年相比减少110.61万元。其中：</w:t>
      </w:r>
    </w:p>
    <w:p w14:paraId="3FD77842">
      <w:pPr>
        <w:pStyle w:val="6"/>
        <w:spacing w:after="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1.行政事业单位养老支出（款）事业单位离退休（项）。年初预算250.53万元，与上年相比增加21.87万元，增加9.56%。变动原因是本年退休</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人，退休养老保险缴费基数增加。</w:t>
      </w:r>
    </w:p>
    <w:p w14:paraId="449FE14E">
      <w:pPr>
        <w:pStyle w:val="6"/>
        <w:spacing w:after="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2.行政事业单位养老支出（款）机关事业单位基本养老保险缴费支出（项）。年初预算314.37万元，与上年相比减少55万元，减少14.89%。变动原因是我单位本年退休</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人，在职人员养老保险缴费基数减少。</w:t>
      </w:r>
    </w:p>
    <w:p w14:paraId="3E4CC080">
      <w:pPr>
        <w:pStyle w:val="6"/>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3.行政事业单位养老支出（款）机关事业单位职业年金缴费支出（项）。年初预算107.2万元，与上年相比减少77.48万元，减少41.96%。变动原因是我单位本年退休</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人，在职人员职业年金缴费基数减少。</w:t>
      </w:r>
    </w:p>
    <w:p w14:paraId="0F3B2141">
      <w:pPr>
        <w:pStyle w:val="6"/>
        <w:tabs>
          <w:tab w:val="left" w:pos="4275"/>
        </w:tabs>
        <w:spacing w:after="0" w:line="56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（四）卫生健康支出（类）</w:t>
      </w:r>
    </w:p>
    <w:p w14:paraId="03AD6EB5">
      <w:pPr>
        <w:pStyle w:val="6"/>
        <w:spacing w:after="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卫生健康支出（类）年初预算数为175.56万元，与上年相比减少9.25万元。其中：</w:t>
      </w:r>
    </w:p>
    <w:p w14:paraId="52BB9F95">
      <w:pPr>
        <w:pStyle w:val="6"/>
        <w:spacing w:after="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1.行政事业单位医疗（款）事业单位医疗（项）。年初预算175.56万元，与上年相比减少9.25万元，减少5%。变动原因是我单位本年退休</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人，在职人员医疗保险缴费基数减少。</w:t>
      </w:r>
    </w:p>
    <w:p w14:paraId="7A3CA721">
      <w:pPr>
        <w:pStyle w:val="6"/>
        <w:tabs>
          <w:tab w:val="left" w:pos="4275"/>
        </w:tabs>
        <w:spacing w:after="0" w:line="56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（五）住房保障支出（类）</w:t>
      </w:r>
    </w:p>
    <w:p w14:paraId="035EC9C9">
      <w:pPr>
        <w:pStyle w:val="6"/>
        <w:spacing w:after="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住房保障支出（类）年初预算数为280.9万元，与上年相比减少14.79万元。其中：</w:t>
      </w:r>
    </w:p>
    <w:p w14:paraId="7A4AB12F">
      <w:pPr>
        <w:pStyle w:val="6"/>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1.住房改革支出（款）住房公积金（项）。年初预算280.9万元，与上年相比减少14.79万元，减少5%。变动原因是我单位本年退休</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人，在职人员住房公积金缴费基数减少。</w:t>
      </w:r>
    </w:p>
    <w:p w14:paraId="448673E0">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六、一般公共预算基本支出预算情况说明</w:t>
      </w:r>
    </w:p>
    <w:p w14:paraId="53BA267C">
      <w:pPr>
        <w:pStyle w:val="6"/>
        <w:spacing w:after="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乌海市职业技术学校单位2026年度一般公共预算财政拨款基本支出预算3,851.46万元，其中：</w:t>
      </w:r>
    </w:p>
    <w:p w14:paraId="27634175">
      <w:pPr>
        <w:pStyle w:val="6"/>
        <w:tabs>
          <w:tab w:val="left" w:pos="2671"/>
          <w:tab w:val="left" w:pos="5000"/>
          <w:tab w:val="left" w:pos="6190"/>
        </w:tabs>
        <w:spacing w:after="0" w:line="56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（一）人员经费3,618.56万元。</w:t>
      </w:r>
      <w:r>
        <w:rPr>
          <w:rFonts w:hint="eastAsia" w:ascii="仿宋_GB2312" w:hAnsi="仿宋_GB2312" w:eastAsia="仿宋_GB2312" w:cs="仿宋_GB2312"/>
          <w:sz w:val="32"/>
          <w:szCs w:val="32"/>
        </w:rPr>
        <w:t>主要包括：基本工资987.34万元、津贴补贴237.97万元、奖金176.63万元、绩效工资1,030.06万元、机关事业单位基本养老保险缴费314.37万元、职业年金缴费107.2万元、职工基本医疗保险缴费175.56万元、其他社会保障缴费19.37万元、住房公积金280.9万元、其他工资福利支出0.16万元、离休费20.98万元、退休费221.69万元、生活补助10.13万元、助学金35.82万元、其他对个人和家庭的补助0.4万元。</w:t>
      </w:r>
    </w:p>
    <w:p w14:paraId="29D72D70">
      <w:pPr>
        <w:pStyle w:val="6"/>
        <w:tabs>
          <w:tab w:val="left" w:pos="2671"/>
          <w:tab w:val="left" w:pos="5000"/>
          <w:tab w:val="left" w:pos="6190"/>
        </w:tabs>
        <w:spacing w:after="0" w:line="56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（二）公用经费232.9万元。</w:t>
      </w:r>
      <w:r>
        <w:rPr>
          <w:rFonts w:hint="eastAsia" w:ascii="仿宋_GB2312" w:hAnsi="仿宋_GB2312" w:eastAsia="仿宋_GB2312" w:cs="仿宋_GB2312"/>
          <w:sz w:val="32"/>
          <w:szCs w:val="32"/>
        </w:rPr>
        <w:t>主要包括：办公费10万元、印刷费2.44万元、水费15万元、电费15万元、邮电费1万元、培训费60.8万元、公务接待费1万元、工会经费48.64万元、公务用车运行维护费3万元、其他商品和服务支出76.02万元。</w:t>
      </w:r>
    </w:p>
    <w:p w14:paraId="5295A857">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七、一般公共预算“三公”经费支出预算情况说明</w:t>
      </w:r>
    </w:p>
    <w:p w14:paraId="7FDD33D5">
      <w:pPr>
        <w:pStyle w:val="6"/>
        <w:tabs>
          <w:tab w:val="left" w:pos="2671"/>
          <w:tab w:val="left" w:pos="5000"/>
          <w:tab w:val="left" w:pos="6190"/>
        </w:tabs>
        <w:spacing w:after="0" w:line="600" w:lineRule="exact"/>
        <w:ind w:firstLine="640" w:firstLineChars="200"/>
        <w:rPr>
          <w:rFonts w:eastAsia="仿宋_GB2312"/>
          <w:sz w:val="32"/>
          <w:szCs w:val="32"/>
        </w:rPr>
      </w:pPr>
      <w:r>
        <w:rPr>
          <w:rFonts w:hint="eastAsia" w:ascii="仿宋_GB2312" w:hAnsi="仿宋_GB2312" w:eastAsia="仿宋_GB2312" w:cs="仿宋_GB2312"/>
          <w:sz w:val="32"/>
          <w:szCs w:val="32"/>
        </w:rPr>
        <w:t>乌海市职业技术学校单位2026年度一般公共预算拨款安排的三公经费预算支出</w:t>
      </w:r>
      <w:r>
        <w:rPr>
          <w:rFonts w:hint="eastAsia" w:ascii="仿宋_GB2312" w:hAnsi="仿宋_GB2312" w:eastAsia="仿宋_GB2312" w:cs="仿宋_GB2312"/>
          <w:sz w:val="32"/>
          <w:szCs w:val="32"/>
          <w:lang w:val="en-US" w:eastAsia="zh-CN"/>
        </w:rPr>
        <w:t>4</w:t>
      </w:r>
      <w:r>
        <w:rPr>
          <w:rFonts w:eastAsia="仿宋_GB2312"/>
          <w:sz w:val="32"/>
          <w:szCs w:val="32"/>
        </w:rPr>
        <w:t>万元，其中因公出国（境）费支出</w:t>
      </w:r>
      <w:r>
        <w:rPr>
          <w:rFonts w:hint="eastAsia" w:ascii="仿宋_GB2312" w:hAnsi="仿宋_GB2312" w:eastAsia="仿宋_GB2312" w:cs="仿宋_GB2312"/>
          <w:sz w:val="32"/>
          <w:szCs w:val="32"/>
        </w:rPr>
        <w:t>0</w:t>
      </w:r>
      <w:r>
        <w:rPr>
          <w:rFonts w:eastAsia="仿宋_GB2312"/>
          <w:sz w:val="32"/>
          <w:szCs w:val="32"/>
        </w:rPr>
        <w:t>万元，占</w:t>
      </w:r>
      <w:r>
        <w:rPr>
          <w:rFonts w:hint="eastAsia" w:ascii="仿宋_GB2312" w:hAnsi="仿宋_GB2312" w:eastAsia="仿宋_GB2312" w:cs="仿宋_GB2312"/>
          <w:sz w:val="32"/>
          <w:szCs w:val="32"/>
        </w:rPr>
        <w:t>0</w:t>
      </w:r>
      <w:r>
        <w:rPr>
          <w:rFonts w:hint="eastAsia" w:ascii="仿宋_GB2312" w:hAnsi="仿宋_GB2312" w:eastAsia="仿宋_GB2312"/>
          <w:sz w:val="32"/>
          <w:szCs w:val="32"/>
        </w:rPr>
        <w:t>%</w:t>
      </w:r>
      <w:r>
        <w:rPr>
          <w:rFonts w:eastAsia="仿宋_GB2312"/>
          <w:sz w:val="32"/>
          <w:szCs w:val="32"/>
        </w:rPr>
        <w:t>；公务用车购置及运行维护费支出</w:t>
      </w:r>
      <w:r>
        <w:rPr>
          <w:rFonts w:hint="eastAsia" w:ascii="仿宋_GB2312" w:hAnsi="仿宋_GB2312" w:eastAsia="仿宋_GB2312" w:cs="仿宋_GB2312"/>
          <w:sz w:val="32"/>
          <w:szCs w:val="32"/>
          <w:lang w:val="en-US" w:eastAsia="zh-CN"/>
        </w:rPr>
        <w:t>3</w:t>
      </w:r>
      <w:r>
        <w:rPr>
          <w:rFonts w:eastAsia="仿宋_GB2312"/>
          <w:sz w:val="32"/>
          <w:szCs w:val="32"/>
        </w:rPr>
        <w:t>万元，占</w:t>
      </w:r>
      <w:r>
        <w:rPr>
          <w:rFonts w:hint="eastAsia" w:ascii="仿宋_GB2312" w:hAnsi="仿宋_GB2312" w:eastAsia="仿宋_GB2312" w:cs="仿宋_GB2312"/>
          <w:sz w:val="32"/>
          <w:szCs w:val="32"/>
        </w:rPr>
        <w:t>75</w:t>
      </w:r>
      <w:r>
        <w:rPr>
          <w:rFonts w:hint="eastAsia" w:ascii="仿宋_GB2312" w:hAnsi="仿宋_GB2312" w:eastAsia="仿宋_GB2312"/>
          <w:sz w:val="32"/>
          <w:szCs w:val="32"/>
        </w:rPr>
        <w:t>%</w:t>
      </w:r>
      <w:r>
        <w:rPr>
          <w:rFonts w:eastAsia="仿宋_GB2312"/>
          <w:sz w:val="32"/>
          <w:szCs w:val="32"/>
        </w:rPr>
        <w:t>；公务接待费支出</w:t>
      </w:r>
      <w:r>
        <w:rPr>
          <w:rFonts w:hint="eastAsia" w:ascii="仿宋_GB2312" w:hAnsi="仿宋_GB2312" w:eastAsia="仿宋_GB2312" w:cs="仿宋_GB2312"/>
          <w:sz w:val="32"/>
          <w:szCs w:val="32"/>
          <w:lang w:val="en-US" w:eastAsia="zh-CN"/>
        </w:rPr>
        <w:t>1</w:t>
      </w:r>
      <w:r>
        <w:rPr>
          <w:rFonts w:eastAsia="仿宋_GB2312"/>
          <w:sz w:val="32"/>
          <w:szCs w:val="32"/>
        </w:rPr>
        <w:t>万元，占</w:t>
      </w:r>
      <w:r>
        <w:rPr>
          <w:rFonts w:hint="eastAsia" w:ascii="仿宋_GB2312" w:hAnsi="仿宋_GB2312" w:eastAsia="仿宋_GB2312" w:cs="仿宋_GB2312"/>
          <w:sz w:val="32"/>
          <w:szCs w:val="32"/>
        </w:rPr>
        <w:t>25</w:t>
      </w:r>
      <w:r>
        <w:rPr>
          <w:rFonts w:hint="eastAsia" w:ascii="仿宋_GB2312" w:hAnsi="仿宋_GB2312" w:eastAsia="仿宋_GB2312"/>
          <w:sz w:val="32"/>
          <w:szCs w:val="32"/>
        </w:rPr>
        <w:t>%</w:t>
      </w:r>
      <w:r>
        <w:rPr>
          <w:rFonts w:eastAsia="仿宋_GB2312"/>
          <w:sz w:val="32"/>
          <w:szCs w:val="32"/>
        </w:rPr>
        <w:t>。具体情况如下：</w:t>
      </w:r>
    </w:p>
    <w:p w14:paraId="641A6D7C">
      <w:pPr>
        <w:pStyle w:val="6"/>
        <w:tabs>
          <w:tab w:val="left" w:pos="2671"/>
          <w:tab w:val="left" w:pos="5000"/>
          <w:tab w:val="left" w:pos="6190"/>
        </w:tabs>
        <w:spacing w:after="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一般公共预算拨款安排的“三公”经费预算支出</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万元，比上年预算增加0万元，增加0%；其中：</w:t>
      </w:r>
    </w:p>
    <w:p w14:paraId="64E718AB">
      <w:pPr>
        <w:pStyle w:val="6"/>
        <w:tabs>
          <w:tab w:val="left" w:pos="2671"/>
          <w:tab w:val="left" w:pos="5000"/>
          <w:tab w:val="left" w:pos="6190"/>
        </w:tabs>
        <w:spacing w:after="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1．因公出国（境）费预算支出0万元，比上年预算增加0万元，主要原因不存在此项内容。</w:t>
      </w:r>
    </w:p>
    <w:p w14:paraId="10AA442C">
      <w:pPr>
        <w:pStyle w:val="6"/>
        <w:tabs>
          <w:tab w:val="left" w:pos="2671"/>
          <w:tab w:val="left" w:pos="5000"/>
          <w:tab w:val="left" w:pos="6190"/>
        </w:tabs>
        <w:spacing w:after="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2．公务用车购置及运行维护费预算支出</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万元。其中：</w:t>
      </w:r>
    </w:p>
    <w:p w14:paraId="6F05FC9C">
      <w:pPr>
        <w:pStyle w:val="6"/>
        <w:tabs>
          <w:tab w:val="left" w:pos="2671"/>
          <w:tab w:val="left" w:pos="5000"/>
          <w:tab w:val="left" w:pos="6190"/>
        </w:tabs>
        <w:spacing w:after="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（1）公务用车购置预算支出0万元，比上年预算增加0万元，主要原因不存在此项内容。</w:t>
      </w:r>
    </w:p>
    <w:p w14:paraId="53B8E874">
      <w:pPr>
        <w:pStyle w:val="6"/>
        <w:tabs>
          <w:tab w:val="left" w:pos="2671"/>
          <w:tab w:val="left" w:pos="5000"/>
          <w:tab w:val="left" w:pos="6190"/>
        </w:tabs>
        <w:spacing w:after="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（2）公务用车运行维护费预算支出</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万元，比上年预算增加0万元，主要原因</w:t>
      </w:r>
      <w:r>
        <w:rPr>
          <w:rFonts w:hint="eastAsia" w:ascii="仿宋_GB2312" w:hAnsi="仿宋_GB2312" w:eastAsia="仿宋_GB2312" w:cs="仿宋_GB2312"/>
          <w:sz w:val="32"/>
          <w:szCs w:val="32"/>
          <w:lang w:val="en-US" w:eastAsia="zh-CN"/>
        </w:rPr>
        <w:t>无变动</w:t>
      </w:r>
      <w:r>
        <w:rPr>
          <w:rFonts w:hint="eastAsia" w:ascii="仿宋_GB2312" w:hAnsi="仿宋_GB2312" w:eastAsia="仿宋_GB2312" w:cs="仿宋_GB2312"/>
          <w:sz w:val="32"/>
          <w:szCs w:val="32"/>
        </w:rPr>
        <w:t>。</w:t>
      </w:r>
    </w:p>
    <w:p w14:paraId="77BA86AD">
      <w:pPr>
        <w:pStyle w:val="6"/>
        <w:tabs>
          <w:tab w:val="left" w:pos="2671"/>
          <w:tab w:val="left" w:pos="5000"/>
          <w:tab w:val="left" w:pos="6190"/>
        </w:tabs>
        <w:spacing w:after="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3．公务接待费预算支出</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万元，比上年预算增加0万元，主要原因</w:t>
      </w:r>
      <w:r>
        <w:rPr>
          <w:rFonts w:hint="eastAsia" w:ascii="仿宋_GB2312" w:hAnsi="仿宋_GB2312" w:eastAsia="仿宋_GB2312" w:cs="仿宋_GB2312"/>
          <w:sz w:val="32"/>
          <w:szCs w:val="32"/>
          <w:lang w:val="en-US" w:eastAsia="zh-CN"/>
        </w:rPr>
        <w:t>无变动</w:t>
      </w:r>
      <w:r>
        <w:rPr>
          <w:rFonts w:hint="eastAsia" w:ascii="仿宋_GB2312" w:hAnsi="仿宋_GB2312" w:eastAsia="仿宋_GB2312" w:cs="仿宋_GB2312"/>
          <w:sz w:val="32"/>
          <w:szCs w:val="32"/>
        </w:rPr>
        <w:t>。</w:t>
      </w:r>
    </w:p>
    <w:p w14:paraId="6579DD05">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八、政府性基金预算支出预算情况说明</w:t>
      </w:r>
    </w:p>
    <w:p w14:paraId="3ABF28D5">
      <w:pPr>
        <w:pStyle w:val="6"/>
        <w:spacing w:after="0" w:line="600" w:lineRule="exact"/>
        <w:ind w:left="17" w:leftChars="8" w:firstLine="640" w:firstLineChars="200"/>
        <w:rPr>
          <w:rFonts w:eastAsia="仿宋_GB2312"/>
          <w:sz w:val="32"/>
          <w:szCs w:val="32"/>
        </w:rPr>
      </w:pPr>
      <w:r>
        <w:rPr>
          <w:rFonts w:hint="eastAsia" w:ascii="仿宋_GB2312" w:hAnsi="仿宋_GB2312" w:eastAsia="仿宋_GB2312" w:cs="仿宋_GB2312"/>
          <w:sz w:val="32"/>
          <w:szCs w:val="32"/>
        </w:rPr>
        <w:t>乌海市职业技术学校单位2026年度政府性基金支出预算支出0万元。与上年相比增加0万元，增加0%。主要原因</w:t>
      </w:r>
      <w:r>
        <w:rPr>
          <w:rFonts w:hint="eastAsia" w:ascii="Times New Roman" w:hAnsi="Times New Roman" w:eastAsia="仿宋_GB2312" w:cs="仿宋"/>
          <w:sz w:val="32"/>
          <w:szCs w:val="32"/>
          <w:highlight w:val="none"/>
        </w:rPr>
        <w:t>本年无政府性基金预算支出</w:t>
      </w:r>
      <w:r>
        <w:rPr>
          <w:rFonts w:hint="eastAsia" w:ascii="仿宋_GB2312" w:hAnsi="仿宋_GB2312" w:eastAsia="仿宋_GB2312" w:cs="仿宋_GB2312"/>
          <w:sz w:val="32"/>
          <w:szCs w:val="32"/>
        </w:rPr>
        <w:t>。</w:t>
      </w:r>
    </w:p>
    <w:p w14:paraId="0B159293">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九、国有资本经营预算支出预算情况说明</w:t>
      </w:r>
    </w:p>
    <w:p w14:paraId="778E7DE9">
      <w:pPr>
        <w:widowControl/>
        <w:spacing w:line="560" w:lineRule="exact"/>
        <w:ind w:firstLine="640" w:firstLineChars="200"/>
        <w:jc w:val="left"/>
        <w:rPr>
          <w:rFonts w:ascii="仿宋_GB2312" w:hAnsi="仿宋_GB2312" w:eastAsia="仿宋_GB2312" w:cs="仿宋_GB2312"/>
          <w:kern w:val="0"/>
          <w:sz w:val="32"/>
          <w:szCs w:val="32"/>
          <w:lang w:bidi="ar"/>
        </w:rPr>
      </w:pPr>
      <w:r>
        <w:rPr>
          <w:rFonts w:hint="eastAsia" w:ascii="仿宋_GB2312" w:hAnsi="仿宋_GB2312" w:eastAsia="仿宋_GB2312" w:cs="仿宋_GB2312"/>
          <w:sz w:val="32"/>
          <w:szCs w:val="32"/>
        </w:rPr>
        <w:t>乌海市职业技术学校单位2026年</w:t>
      </w:r>
      <w:r>
        <w:rPr>
          <w:rFonts w:hint="eastAsia" w:ascii="仿宋_GB2312" w:hAnsi="仿宋_GB2312" w:eastAsia="仿宋_GB2312" w:cs="仿宋_GB2312"/>
          <w:kern w:val="0"/>
          <w:sz w:val="32"/>
          <w:szCs w:val="32"/>
          <w:lang w:bidi="ar"/>
        </w:rPr>
        <w:t>国有资本经营预算拨款</w:t>
      </w:r>
      <w:r>
        <w:rPr>
          <w:rFonts w:hint="eastAsia" w:ascii="仿宋_GB2312" w:hAnsi="仿宋_GB2312" w:eastAsia="仿宋_GB2312" w:cs="仿宋_GB2312"/>
          <w:sz w:val="32"/>
          <w:szCs w:val="32"/>
        </w:rPr>
        <w:t>0</w:t>
      </w:r>
      <w:r>
        <w:rPr>
          <w:rFonts w:hint="eastAsia" w:ascii="仿宋_GB2312" w:hAnsi="仿宋_GB2312" w:eastAsia="仿宋_GB2312" w:cs="仿宋_GB2312"/>
          <w:kern w:val="0"/>
          <w:sz w:val="32"/>
          <w:szCs w:val="32"/>
          <w:lang w:bidi="ar"/>
        </w:rPr>
        <w:t>元，与上年比较,</w:t>
      </w:r>
      <w:r>
        <w:rPr>
          <w:rFonts w:hint="eastAsia" w:ascii="仿宋_GB2312" w:hAnsi="仿宋_GB2312" w:eastAsia="仿宋_GB2312" w:cs="仿宋_GB2312"/>
          <w:sz w:val="32"/>
          <w:szCs w:val="32"/>
        </w:rPr>
        <w:t>增加0</w:t>
      </w:r>
      <w:r>
        <w:rPr>
          <w:rFonts w:hint="eastAsia" w:ascii="仿宋_GB2312" w:hAnsi="仿宋_GB2312" w:eastAsia="仿宋_GB2312" w:cs="仿宋_GB2312"/>
          <w:kern w:val="0"/>
          <w:sz w:val="32"/>
          <w:szCs w:val="32"/>
          <w:lang w:bidi="ar"/>
        </w:rPr>
        <w:t>万元增长了</w:t>
      </w:r>
      <w:r>
        <w:rPr>
          <w:rFonts w:hint="eastAsia" w:ascii="仿宋_GB2312" w:hAnsi="仿宋_GB2312" w:eastAsia="仿宋_GB2312" w:cs="仿宋_GB2312"/>
          <w:sz w:val="32"/>
          <w:szCs w:val="32"/>
        </w:rPr>
        <w:t>0</w:t>
      </w:r>
      <w:r>
        <w:rPr>
          <w:rFonts w:hint="eastAsia" w:ascii="仿宋_GB2312" w:hAnsi="仿宋_GB2312" w:eastAsia="仿宋_GB2312" w:cs="仿宋_GB2312"/>
          <w:kern w:val="0"/>
          <w:sz w:val="32"/>
          <w:szCs w:val="32"/>
          <w:lang w:bidi="ar"/>
        </w:rPr>
        <w:t>%。</w:t>
      </w:r>
      <w:r>
        <w:rPr>
          <w:rFonts w:eastAsia="仿宋_GB2312"/>
          <w:sz w:val="32"/>
          <w:szCs w:val="32"/>
        </w:rPr>
        <w:t>主要原因</w:t>
      </w:r>
      <w:r>
        <w:rPr>
          <w:rFonts w:hint="eastAsia" w:eastAsia="仿宋_GB2312"/>
          <w:sz w:val="32"/>
          <w:szCs w:val="32"/>
        </w:rPr>
        <w:t>我单位无国有资本经营预算拨款预算，无此项支出</w:t>
      </w:r>
      <w:r>
        <w:rPr>
          <w:rFonts w:hint="eastAsia" w:ascii="仿宋_GB2312" w:hAnsi="仿宋_GB2312" w:eastAsia="仿宋_GB2312" w:cs="仿宋_GB2312"/>
          <w:kern w:val="0"/>
          <w:sz w:val="32"/>
          <w:szCs w:val="32"/>
          <w:lang w:bidi="ar"/>
        </w:rPr>
        <w:t>。</w:t>
      </w:r>
    </w:p>
    <w:p w14:paraId="0E8D593E">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十、项目支出预算情况说明</w:t>
      </w:r>
    </w:p>
    <w:p w14:paraId="064224D2">
      <w:pPr>
        <w:widowControl/>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乌海市职业技术学校单位2026年度预算安排项目</w:t>
      </w:r>
      <w:r>
        <w:rPr>
          <w:rFonts w:hint="eastAsia" w:ascii="仿宋_GB2312" w:hAnsi="仿宋_GB2312" w:eastAsia="仿宋_GB2312" w:cs="仿宋_GB2312"/>
          <w:sz w:val="32"/>
          <w:szCs w:val="32"/>
          <w:lang w:val="en-US" w:eastAsia="zh-CN"/>
        </w:rPr>
        <w:t>38</w:t>
      </w:r>
      <w:r>
        <w:rPr>
          <w:rFonts w:hint="eastAsia" w:ascii="仿宋_GB2312" w:hAnsi="仿宋_GB2312" w:eastAsia="仿宋_GB2312" w:cs="仿宋_GB2312"/>
          <w:sz w:val="32"/>
          <w:szCs w:val="32"/>
        </w:rPr>
        <w:t>个，项目预算总金额2,772.53万元。其中，财政本年拨款金额143万元，财政拨款结转结余2,629.53万元，财政专户管理资金0万元，单位资金0万元。</w:t>
      </w:r>
    </w:p>
    <w:p w14:paraId="796FE530">
      <w:pPr>
        <w:pStyle w:val="2"/>
        <w:rPr>
          <w:rFonts w:hint="eastAsia" w:ascii="仿宋_GB2312" w:hAnsi="仿宋_GB2312" w:eastAsia="仿宋_GB2312" w:cs="仿宋_GB2312"/>
          <w:sz w:val="32"/>
          <w:szCs w:val="32"/>
        </w:rPr>
      </w:pPr>
    </w:p>
    <w:p w14:paraId="3C5B23D4">
      <w:pPr>
        <w:keepNext w:val="0"/>
        <w:keepLines w:val="0"/>
        <w:pageBreakBefore w:val="0"/>
        <w:widowControl/>
        <w:kinsoku/>
        <w:wordWrap/>
        <w:overflowPunct/>
        <w:topLinePunct w:val="0"/>
        <w:autoSpaceDE/>
        <w:autoSpaceDN/>
        <w:bidi w:val="0"/>
        <w:adjustRightInd/>
        <w:snapToGrid/>
        <w:spacing w:line="560" w:lineRule="exact"/>
        <w:ind w:left="0" w:leftChars="0" w:firstLine="723" w:firstLineChars="200"/>
        <w:jc w:val="center"/>
        <w:textAlignment w:val="auto"/>
        <w:rPr>
          <w:rFonts w:hint="eastAsia" w:ascii="仿宋_GB2312" w:hAnsi="仿宋" w:eastAsia="仿宋_GB2312" w:cs="仿宋"/>
          <w:b/>
          <w:bCs/>
          <w:color w:val="auto"/>
          <w:kern w:val="0"/>
          <w:sz w:val="36"/>
          <w:szCs w:val="32"/>
          <w:lang w:bidi="ar"/>
        </w:rPr>
      </w:pPr>
      <w:r>
        <w:rPr>
          <w:rFonts w:hint="eastAsia" w:ascii="仿宋_GB2312" w:hAnsi="仿宋" w:eastAsia="仿宋_GB2312" w:cs="仿宋"/>
          <w:b/>
          <w:bCs/>
          <w:color w:val="auto"/>
          <w:kern w:val="0"/>
          <w:sz w:val="36"/>
          <w:szCs w:val="32"/>
          <w:lang w:bidi="ar"/>
        </w:rPr>
        <w:t>第三部分 其他公开事项说明</w:t>
      </w:r>
    </w:p>
    <w:p w14:paraId="4428D236">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黑体" w:hAnsi="黑体" w:eastAsia="黑体" w:cs="仿宋"/>
          <w:bCs/>
          <w:color w:val="auto"/>
          <w:kern w:val="0"/>
          <w:sz w:val="32"/>
          <w:szCs w:val="32"/>
          <w:lang w:bidi="ar"/>
        </w:rPr>
      </w:pPr>
    </w:p>
    <w:p w14:paraId="7257369D">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黑体" w:hAnsi="黑体" w:eastAsia="黑体" w:cs="仿宋"/>
          <w:bCs/>
          <w:color w:val="auto"/>
          <w:kern w:val="0"/>
          <w:sz w:val="32"/>
          <w:szCs w:val="32"/>
          <w:lang w:bidi="ar"/>
        </w:rPr>
      </w:pPr>
      <w:r>
        <w:rPr>
          <w:rFonts w:hint="eastAsia" w:ascii="黑体" w:hAnsi="黑体" w:eastAsia="黑体" w:cs="仿宋"/>
          <w:bCs/>
          <w:color w:val="auto"/>
          <w:kern w:val="0"/>
          <w:sz w:val="32"/>
          <w:szCs w:val="32"/>
          <w:lang w:bidi="ar"/>
        </w:rPr>
        <w:t>一、机关运行经费安排情况说明</w:t>
      </w:r>
    </w:p>
    <w:p w14:paraId="2C70B451">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机关运行经费，是指各部门的公用经费，包括办公及印刷费、邮电费、差旅费、会议费、福利费、日常维修费、专业材料及一般设备购置费、办公用房水电费、办公用房取暖费、办公用房物业管理费、公务用车运行维护费以及其他费用等。</w:t>
      </w:r>
    </w:p>
    <w:p w14:paraId="0930670B">
      <w:pPr>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2025年我单位</w:t>
      </w:r>
      <w:r>
        <w:rPr>
          <w:rFonts w:hint="eastAsia" w:ascii="仿宋_GB2312" w:hAnsi="仿宋_GB2312" w:eastAsia="仿宋_GB2312" w:cs="仿宋_GB2312"/>
          <w:sz w:val="32"/>
          <w:szCs w:val="32"/>
          <w:lang w:val="en-US" w:eastAsia="zh-CN"/>
        </w:rPr>
        <w:t>无</w:t>
      </w:r>
      <w:r>
        <w:rPr>
          <w:rFonts w:hint="eastAsia" w:ascii="仿宋_GB2312" w:hAnsi="仿宋_GB2312" w:eastAsia="仿宋_GB2312" w:cs="仿宋_GB2312"/>
          <w:sz w:val="32"/>
          <w:szCs w:val="32"/>
        </w:rPr>
        <w:t>机关运行经费财政拨款预算</w:t>
      </w:r>
      <w:r>
        <w:rPr>
          <w:rFonts w:hint="eastAsia" w:ascii="仿宋_GB2312" w:hAnsi="仿宋_GB2312" w:eastAsia="仿宋_GB2312" w:cs="仿宋_GB2312"/>
          <w:sz w:val="32"/>
          <w:szCs w:val="32"/>
          <w:lang w:eastAsia="zh-CN"/>
        </w:rPr>
        <w:t>。</w:t>
      </w:r>
    </w:p>
    <w:p w14:paraId="508765AC">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黑体" w:hAnsi="黑体" w:eastAsia="黑体"/>
          <w:color w:val="auto"/>
          <w:sz w:val="32"/>
          <w:szCs w:val="32"/>
        </w:rPr>
      </w:pPr>
      <w:r>
        <w:rPr>
          <w:rFonts w:hint="eastAsia" w:ascii="黑体" w:hAnsi="黑体" w:eastAsia="黑体" w:cs="仿宋"/>
          <w:bCs/>
          <w:color w:val="auto"/>
          <w:kern w:val="0"/>
          <w:sz w:val="32"/>
          <w:szCs w:val="32"/>
          <w:lang w:bidi="ar"/>
        </w:rPr>
        <w:t>二、事业运行经费安排情况说明</w:t>
      </w:r>
    </w:p>
    <w:p w14:paraId="005B4B6A">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 w:eastAsia="仿宋_GB2312" w:cs="仿宋"/>
          <w:color w:val="auto"/>
          <w:kern w:val="0"/>
          <w:sz w:val="32"/>
          <w:szCs w:val="32"/>
          <w:lang w:bidi="ar"/>
        </w:rPr>
      </w:pPr>
      <w:r>
        <w:rPr>
          <w:rFonts w:hint="eastAsia" w:ascii="仿宋_GB2312" w:hAnsi="仿宋" w:eastAsia="仿宋_GB2312" w:cs="仿宋"/>
          <w:color w:val="auto"/>
          <w:kern w:val="0"/>
          <w:sz w:val="32"/>
          <w:szCs w:val="32"/>
          <w:lang w:bidi="ar"/>
        </w:rPr>
        <w:t>事业运转经费，是指各事业单位的公用经费，包括办公及印刷费、邮电费、差旅费、会议费、福利费、日常维修费、专业材料及一般设备购置费、办公用房水电费、办公用房取暖费、办公用房物业管理费、公务用车运行维护费以及其他费用。</w:t>
      </w:r>
    </w:p>
    <w:p w14:paraId="46C7971A">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 w:eastAsia="仿宋_GB2312" w:cs="仿宋"/>
          <w:color w:val="auto"/>
          <w:kern w:val="0"/>
          <w:sz w:val="32"/>
          <w:szCs w:val="32"/>
          <w:highlight w:val="none"/>
          <w:lang w:bidi="ar"/>
        </w:rPr>
      </w:pPr>
      <w:r>
        <w:rPr>
          <w:rFonts w:hint="eastAsia" w:ascii="仿宋_GB2312" w:hAnsi="仿宋" w:eastAsia="仿宋_GB2312" w:cs="仿宋"/>
          <w:color w:val="auto"/>
          <w:kern w:val="0"/>
          <w:sz w:val="32"/>
          <w:szCs w:val="32"/>
          <w:lang w:val="en-US" w:eastAsia="zh-CN" w:bidi="ar"/>
        </w:rPr>
        <w:t>2026</w:t>
      </w:r>
      <w:r>
        <w:rPr>
          <w:rFonts w:hint="eastAsia" w:ascii="仿宋_GB2312" w:hAnsi="仿宋" w:eastAsia="仿宋_GB2312" w:cs="仿宋"/>
          <w:color w:val="auto"/>
          <w:kern w:val="0"/>
          <w:sz w:val="32"/>
          <w:szCs w:val="32"/>
          <w:lang w:eastAsia="zh-CN" w:bidi="ar"/>
        </w:rPr>
        <w:t>年</w:t>
      </w:r>
      <w:r>
        <w:rPr>
          <w:rFonts w:hint="eastAsia" w:ascii="仿宋_GB2312" w:hAnsi="仿宋" w:eastAsia="仿宋_GB2312" w:cs="仿宋"/>
          <w:color w:val="auto"/>
          <w:kern w:val="0"/>
          <w:sz w:val="32"/>
          <w:szCs w:val="32"/>
          <w:lang w:bidi="ar"/>
        </w:rPr>
        <w:t>我单位事业运转经费财政拨款预算</w:t>
      </w:r>
      <w:r>
        <w:rPr>
          <w:rFonts w:hint="eastAsia" w:ascii="仿宋" w:hAnsi="仿宋" w:eastAsia="仿宋" w:cs="仿宋"/>
          <w:color w:val="auto"/>
          <w:sz w:val="32"/>
          <w:szCs w:val="32"/>
          <w:u w:val="none"/>
          <w:lang w:val="en-US" w:eastAsia="zh-CN"/>
        </w:rPr>
        <w:t>232.90</w:t>
      </w:r>
      <w:r>
        <w:rPr>
          <w:rFonts w:hint="eastAsia" w:ascii="仿宋_GB2312" w:hAnsi="仿宋" w:eastAsia="仿宋_GB2312" w:cs="仿宋"/>
          <w:color w:val="auto"/>
          <w:kern w:val="0"/>
          <w:sz w:val="32"/>
          <w:szCs w:val="32"/>
          <w:lang w:bidi="ar"/>
        </w:rPr>
        <w:t>万元，其中：</w:t>
      </w:r>
    </w:p>
    <w:p w14:paraId="6246C263">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 w:eastAsia="仿宋_GB2312" w:cs="仿宋"/>
          <w:color w:val="auto"/>
          <w:kern w:val="0"/>
          <w:sz w:val="32"/>
          <w:szCs w:val="32"/>
          <w:highlight w:val="none"/>
          <w:lang w:bidi="ar"/>
        </w:rPr>
      </w:pPr>
      <w:r>
        <w:rPr>
          <w:rFonts w:hint="eastAsia" w:ascii="仿宋_GB2312" w:hAnsi="仿宋" w:eastAsia="仿宋_GB2312" w:cs="仿宋"/>
          <w:color w:val="auto"/>
          <w:kern w:val="0"/>
          <w:sz w:val="32"/>
          <w:szCs w:val="32"/>
          <w:highlight w:val="none"/>
          <w:lang w:bidi="ar"/>
        </w:rPr>
        <w:t>302</w:t>
      </w:r>
      <w:r>
        <w:rPr>
          <w:rFonts w:hint="eastAsia" w:ascii="仿宋_GB2312" w:hAnsi="仿宋" w:eastAsia="仿宋_GB2312" w:cs="仿宋"/>
          <w:color w:val="auto"/>
          <w:kern w:val="0"/>
          <w:sz w:val="32"/>
          <w:szCs w:val="32"/>
          <w:highlight w:val="none"/>
          <w:u w:val="none"/>
          <w:lang w:bidi="ar"/>
        </w:rPr>
        <w:t>商品和服务支出类：办公费</w:t>
      </w:r>
      <w:r>
        <w:rPr>
          <w:rFonts w:hint="eastAsia" w:ascii="仿宋" w:hAnsi="仿宋" w:eastAsia="仿宋" w:cs="仿宋"/>
          <w:color w:val="auto"/>
          <w:sz w:val="32"/>
          <w:szCs w:val="32"/>
          <w:highlight w:val="none"/>
          <w:u w:val="none"/>
          <w:lang w:val="en-US" w:eastAsia="zh-CN"/>
        </w:rPr>
        <w:t>10</w:t>
      </w:r>
      <w:r>
        <w:rPr>
          <w:rFonts w:hint="eastAsia" w:ascii="仿宋_GB2312" w:hAnsi="仿宋" w:eastAsia="仿宋_GB2312" w:cs="仿宋"/>
          <w:color w:val="auto"/>
          <w:kern w:val="0"/>
          <w:sz w:val="32"/>
          <w:szCs w:val="32"/>
          <w:highlight w:val="none"/>
          <w:u w:val="none"/>
          <w:lang w:bidi="ar"/>
        </w:rPr>
        <w:t>万元、印刷费</w:t>
      </w:r>
      <w:r>
        <w:rPr>
          <w:rFonts w:hint="eastAsia" w:ascii="仿宋" w:hAnsi="仿宋" w:eastAsia="仿宋" w:cs="仿宋"/>
          <w:color w:val="auto"/>
          <w:sz w:val="32"/>
          <w:szCs w:val="32"/>
          <w:highlight w:val="none"/>
          <w:u w:val="none"/>
          <w:lang w:val="en-US" w:eastAsia="zh-CN"/>
        </w:rPr>
        <w:t>2.44</w:t>
      </w:r>
      <w:r>
        <w:rPr>
          <w:rFonts w:hint="eastAsia" w:ascii="仿宋_GB2312" w:hAnsi="仿宋" w:eastAsia="仿宋_GB2312" w:cs="仿宋"/>
          <w:color w:val="auto"/>
          <w:kern w:val="0"/>
          <w:sz w:val="32"/>
          <w:szCs w:val="32"/>
          <w:highlight w:val="none"/>
          <w:u w:val="none"/>
          <w:lang w:bidi="ar"/>
        </w:rPr>
        <w:t>万元、水费</w:t>
      </w:r>
      <w:r>
        <w:rPr>
          <w:rFonts w:hint="eastAsia" w:ascii="仿宋" w:hAnsi="仿宋" w:eastAsia="仿宋" w:cs="仿宋"/>
          <w:color w:val="auto"/>
          <w:sz w:val="32"/>
          <w:szCs w:val="32"/>
          <w:highlight w:val="none"/>
          <w:u w:val="none"/>
          <w:lang w:val="en-US" w:eastAsia="zh-CN"/>
        </w:rPr>
        <w:t>15</w:t>
      </w:r>
      <w:r>
        <w:rPr>
          <w:rFonts w:hint="eastAsia" w:ascii="仿宋_GB2312" w:hAnsi="仿宋" w:eastAsia="仿宋_GB2312" w:cs="仿宋"/>
          <w:color w:val="auto"/>
          <w:kern w:val="0"/>
          <w:sz w:val="32"/>
          <w:szCs w:val="32"/>
          <w:highlight w:val="none"/>
          <w:u w:val="none"/>
          <w:lang w:bidi="ar"/>
        </w:rPr>
        <w:t>万元、电费</w:t>
      </w:r>
      <w:r>
        <w:rPr>
          <w:rFonts w:hint="eastAsia" w:ascii="仿宋" w:hAnsi="仿宋" w:eastAsia="仿宋" w:cs="仿宋"/>
          <w:color w:val="auto"/>
          <w:sz w:val="32"/>
          <w:szCs w:val="32"/>
          <w:highlight w:val="none"/>
          <w:u w:val="none"/>
          <w:lang w:val="en-US" w:eastAsia="zh-CN"/>
        </w:rPr>
        <w:t>15</w:t>
      </w:r>
      <w:r>
        <w:rPr>
          <w:rFonts w:hint="eastAsia" w:ascii="仿宋_GB2312" w:hAnsi="仿宋" w:eastAsia="仿宋_GB2312" w:cs="仿宋"/>
          <w:color w:val="auto"/>
          <w:kern w:val="0"/>
          <w:sz w:val="32"/>
          <w:szCs w:val="32"/>
          <w:highlight w:val="none"/>
          <w:u w:val="none"/>
          <w:lang w:bidi="ar"/>
        </w:rPr>
        <w:t>万元、邮电费</w:t>
      </w:r>
      <w:r>
        <w:rPr>
          <w:rFonts w:hint="eastAsia" w:ascii="仿宋" w:hAnsi="仿宋" w:eastAsia="仿宋" w:cs="仿宋"/>
          <w:color w:val="auto"/>
          <w:sz w:val="32"/>
          <w:szCs w:val="32"/>
          <w:highlight w:val="none"/>
          <w:u w:val="none"/>
          <w:lang w:val="en-US" w:eastAsia="zh-CN"/>
        </w:rPr>
        <w:t>1</w:t>
      </w:r>
      <w:r>
        <w:rPr>
          <w:rFonts w:hint="eastAsia" w:ascii="仿宋_GB2312" w:hAnsi="仿宋" w:eastAsia="仿宋_GB2312" w:cs="仿宋"/>
          <w:color w:val="auto"/>
          <w:kern w:val="0"/>
          <w:sz w:val="32"/>
          <w:szCs w:val="32"/>
          <w:highlight w:val="none"/>
          <w:u w:val="none"/>
          <w:lang w:bidi="ar"/>
        </w:rPr>
        <w:t>万元、培训费</w:t>
      </w:r>
      <w:r>
        <w:rPr>
          <w:rFonts w:hint="eastAsia" w:ascii="仿宋" w:hAnsi="仿宋" w:eastAsia="仿宋" w:cs="仿宋"/>
          <w:color w:val="auto"/>
          <w:sz w:val="32"/>
          <w:szCs w:val="32"/>
          <w:highlight w:val="none"/>
          <w:u w:val="none"/>
          <w:lang w:val="en-US" w:eastAsia="zh-CN"/>
        </w:rPr>
        <w:t>60.80</w:t>
      </w:r>
      <w:r>
        <w:rPr>
          <w:rFonts w:hint="eastAsia" w:ascii="仿宋_GB2312" w:hAnsi="仿宋" w:eastAsia="仿宋_GB2312" w:cs="仿宋"/>
          <w:color w:val="auto"/>
          <w:kern w:val="0"/>
          <w:sz w:val="32"/>
          <w:szCs w:val="32"/>
          <w:highlight w:val="none"/>
          <w:u w:val="none"/>
          <w:lang w:bidi="ar"/>
        </w:rPr>
        <w:t>万元、工会经费</w:t>
      </w:r>
      <w:r>
        <w:rPr>
          <w:rFonts w:hint="eastAsia" w:ascii="仿宋" w:hAnsi="仿宋" w:eastAsia="仿宋" w:cs="仿宋"/>
          <w:color w:val="auto"/>
          <w:sz w:val="32"/>
          <w:szCs w:val="32"/>
          <w:highlight w:val="none"/>
          <w:u w:val="none"/>
          <w:lang w:val="en-US" w:eastAsia="zh-CN"/>
        </w:rPr>
        <w:t>48.64</w:t>
      </w:r>
      <w:r>
        <w:rPr>
          <w:rFonts w:hint="eastAsia" w:ascii="仿宋_GB2312" w:hAnsi="仿宋" w:eastAsia="仿宋_GB2312" w:cs="仿宋"/>
          <w:color w:val="auto"/>
          <w:kern w:val="0"/>
          <w:sz w:val="32"/>
          <w:szCs w:val="32"/>
          <w:highlight w:val="none"/>
          <w:u w:val="none"/>
          <w:lang w:bidi="ar"/>
        </w:rPr>
        <w:t>万元、公务用车运行维护费</w:t>
      </w:r>
      <w:r>
        <w:rPr>
          <w:rFonts w:hint="eastAsia" w:ascii="仿宋" w:hAnsi="仿宋" w:eastAsia="仿宋" w:cs="仿宋"/>
          <w:color w:val="auto"/>
          <w:sz w:val="32"/>
          <w:szCs w:val="32"/>
          <w:highlight w:val="none"/>
          <w:u w:val="none"/>
          <w:lang w:val="en-US" w:eastAsia="zh-CN"/>
        </w:rPr>
        <w:t>3.00</w:t>
      </w:r>
      <w:r>
        <w:rPr>
          <w:rFonts w:hint="eastAsia" w:ascii="仿宋_GB2312" w:hAnsi="仿宋" w:eastAsia="仿宋_GB2312" w:cs="仿宋"/>
          <w:color w:val="auto"/>
          <w:kern w:val="0"/>
          <w:sz w:val="32"/>
          <w:szCs w:val="32"/>
          <w:highlight w:val="none"/>
          <w:u w:val="none"/>
          <w:lang w:bidi="ar"/>
        </w:rPr>
        <w:t>万元、其他商品和服务支出</w:t>
      </w:r>
      <w:r>
        <w:rPr>
          <w:rFonts w:hint="eastAsia" w:ascii="仿宋" w:hAnsi="仿宋" w:eastAsia="仿宋" w:cs="仿宋"/>
          <w:color w:val="auto"/>
          <w:sz w:val="32"/>
          <w:szCs w:val="32"/>
          <w:highlight w:val="none"/>
          <w:u w:val="none"/>
          <w:lang w:val="en-US" w:eastAsia="zh-CN"/>
        </w:rPr>
        <w:t>76.02</w:t>
      </w:r>
      <w:r>
        <w:rPr>
          <w:rFonts w:hint="eastAsia" w:ascii="仿宋_GB2312" w:hAnsi="仿宋" w:eastAsia="仿宋_GB2312" w:cs="仿宋"/>
          <w:color w:val="auto"/>
          <w:kern w:val="0"/>
          <w:sz w:val="32"/>
          <w:szCs w:val="32"/>
          <w:highlight w:val="none"/>
          <w:u w:val="none"/>
          <w:lang w:bidi="ar"/>
        </w:rPr>
        <w:t>万元；</w:t>
      </w:r>
    </w:p>
    <w:p w14:paraId="2BC3BE0D">
      <w:pPr>
        <w:spacing w:line="600" w:lineRule="exact"/>
        <w:ind w:left="0" w:leftChars="0" w:firstLine="640" w:firstLineChars="200"/>
        <w:outlineLvl w:val="2"/>
        <w:rPr>
          <w:rFonts w:hint="eastAsia" w:eastAsia="黑体" w:cs="黑体"/>
          <w:sz w:val="32"/>
          <w:szCs w:val="36"/>
          <w:highlight w:val="none"/>
        </w:rPr>
      </w:pPr>
      <w:r>
        <w:rPr>
          <w:rFonts w:hint="eastAsia" w:ascii="仿宋_GB2312" w:hAnsi="仿宋" w:eastAsia="仿宋_GB2312" w:cs="仿宋"/>
          <w:color w:val="auto"/>
          <w:kern w:val="0"/>
          <w:sz w:val="32"/>
          <w:szCs w:val="32"/>
          <w:highlight w:val="none"/>
          <w:lang w:val="en-US" w:eastAsia="zh-CN" w:bidi="ar"/>
        </w:rPr>
        <w:t>2026</w:t>
      </w:r>
      <w:r>
        <w:rPr>
          <w:rFonts w:hint="eastAsia" w:ascii="仿宋_GB2312" w:hAnsi="仿宋" w:eastAsia="仿宋_GB2312" w:cs="仿宋"/>
          <w:color w:val="auto"/>
          <w:kern w:val="0"/>
          <w:sz w:val="32"/>
          <w:szCs w:val="32"/>
          <w:highlight w:val="none"/>
          <w:u w:val="none"/>
          <w:lang w:eastAsia="zh-CN" w:bidi="ar"/>
        </w:rPr>
        <w:t>年</w:t>
      </w:r>
      <w:r>
        <w:rPr>
          <w:rFonts w:hint="eastAsia" w:ascii="仿宋_GB2312" w:hAnsi="仿宋" w:eastAsia="仿宋_GB2312" w:cs="仿宋"/>
          <w:color w:val="auto"/>
          <w:kern w:val="0"/>
          <w:sz w:val="32"/>
          <w:szCs w:val="32"/>
          <w:highlight w:val="none"/>
          <w:u w:val="none"/>
          <w:lang w:bidi="ar"/>
        </w:rPr>
        <w:t>事业运行经费比上年减少</w:t>
      </w:r>
      <w:r>
        <w:rPr>
          <w:rFonts w:hint="eastAsia" w:ascii="仿宋" w:hAnsi="仿宋" w:eastAsia="仿宋" w:cs="仿宋"/>
          <w:color w:val="auto"/>
          <w:sz w:val="32"/>
          <w:szCs w:val="32"/>
          <w:highlight w:val="none"/>
          <w:u w:val="none"/>
          <w:lang w:val="en-US" w:eastAsia="zh-CN"/>
        </w:rPr>
        <w:t>7.84</w:t>
      </w:r>
      <w:r>
        <w:rPr>
          <w:rFonts w:hint="eastAsia" w:ascii="仿宋_GB2312" w:hAnsi="仿宋" w:eastAsia="仿宋_GB2312" w:cs="仿宋"/>
          <w:color w:val="auto"/>
          <w:kern w:val="0"/>
          <w:sz w:val="32"/>
          <w:szCs w:val="32"/>
          <w:highlight w:val="none"/>
          <w:u w:val="none"/>
          <w:lang w:bidi="ar"/>
        </w:rPr>
        <w:t>万元，下降</w:t>
      </w:r>
      <w:r>
        <w:rPr>
          <w:rFonts w:hint="eastAsia" w:ascii="仿宋_GB2312" w:hAnsi="仿宋" w:eastAsia="仿宋_GB2312" w:cs="仿宋"/>
          <w:color w:val="auto"/>
          <w:kern w:val="0"/>
          <w:sz w:val="32"/>
          <w:szCs w:val="32"/>
          <w:highlight w:val="none"/>
          <w:u w:val="none"/>
          <w:lang w:val="en-US" w:eastAsia="zh-CN" w:bidi="ar"/>
        </w:rPr>
        <w:t>3.26</w:t>
      </w:r>
      <w:r>
        <w:rPr>
          <w:rFonts w:hint="eastAsia" w:ascii="仿宋_GB2312" w:hAnsi="仿宋" w:eastAsia="仿宋_GB2312" w:cs="仿宋"/>
          <w:color w:val="auto"/>
          <w:kern w:val="0"/>
          <w:sz w:val="32"/>
          <w:szCs w:val="32"/>
          <w:highlight w:val="none"/>
          <w:u w:val="none"/>
          <w:lang w:bidi="ar"/>
        </w:rPr>
        <w:t>%，下降主要原因</w:t>
      </w:r>
      <w:r>
        <w:rPr>
          <w:rFonts w:hint="eastAsia" w:ascii="仿宋" w:hAnsi="仿宋" w:eastAsia="仿宋" w:cs="仿宋"/>
          <w:color w:val="auto"/>
          <w:sz w:val="32"/>
          <w:szCs w:val="32"/>
          <w:highlight w:val="none"/>
          <w:u w:val="none"/>
        </w:rPr>
        <w:t>是</w:t>
      </w:r>
      <w:r>
        <w:rPr>
          <w:rFonts w:hint="eastAsia" w:ascii="仿宋" w:hAnsi="仿宋" w:eastAsia="仿宋" w:cs="仿宋"/>
          <w:color w:val="auto"/>
          <w:sz w:val="32"/>
          <w:szCs w:val="32"/>
          <w:highlight w:val="none"/>
          <w:u w:val="none"/>
          <w:lang w:val="en-US" w:eastAsia="zh-CN"/>
        </w:rPr>
        <w:t>学生较上年度减少，日常维护经费减少</w:t>
      </w:r>
      <w:r>
        <w:rPr>
          <w:rFonts w:hint="eastAsia" w:ascii="仿宋_GB2312" w:hAnsi="仿宋" w:eastAsia="仿宋_GB2312" w:cs="仿宋"/>
          <w:color w:val="auto"/>
          <w:kern w:val="0"/>
          <w:sz w:val="32"/>
          <w:szCs w:val="32"/>
          <w:highlight w:val="none"/>
          <w:u w:val="none"/>
          <w:lang w:bidi="ar"/>
        </w:rPr>
        <w:t>。</w:t>
      </w:r>
    </w:p>
    <w:p w14:paraId="0C8C7E94">
      <w:pPr>
        <w:pStyle w:val="2"/>
        <w:rPr>
          <w:rFonts w:hint="eastAsia"/>
        </w:rPr>
      </w:pPr>
    </w:p>
    <w:p w14:paraId="4D39B5E5">
      <w:pPr>
        <w:pStyle w:val="2"/>
        <w:rPr>
          <w:rFonts w:hint="eastAsia" w:eastAsia="黑体" w:cs="黑体"/>
          <w:sz w:val="32"/>
          <w:szCs w:val="36"/>
          <w:highlight w:val="none"/>
        </w:rPr>
      </w:pPr>
    </w:p>
    <w:p w14:paraId="25304C57">
      <w:pPr>
        <w:pStyle w:val="2"/>
        <w:rPr>
          <w:rFonts w:hint="eastAsia" w:eastAsia="黑体" w:cs="黑体"/>
          <w:sz w:val="32"/>
          <w:szCs w:val="36"/>
          <w:highlight w:val="none"/>
        </w:rPr>
      </w:pPr>
    </w:p>
    <w:p w14:paraId="17F0BEF2">
      <w:pPr>
        <w:spacing w:line="600" w:lineRule="exact"/>
        <w:ind w:left="0" w:leftChars="0" w:firstLine="640" w:firstLineChars="200"/>
        <w:outlineLvl w:val="2"/>
        <w:rPr>
          <w:rFonts w:eastAsia="仿宋_GB2312" w:cstheme="minorBidi"/>
          <w:sz w:val="32"/>
          <w:szCs w:val="32"/>
          <w:highlight w:val="none"/>
        </w:rPr>
      </w:pPr>
      <w:r>
        <w:rPr>
          <w:rFonts w:hint="eastAsia" w:eastAsia="黑体" w:cs="黑体"/>
          <w:sz w:val="32"/>
          <w:szCs w:val="36"/>
          <w:highlight w:val="none"/>
          <w:lang w:val="en-US" w:eastAsia="zh-CN"/>
        </w:rPr>
        <w:t>三</w:t>
      </w:r>
      <w:r>
        <w:rPr>
          <w:rFonts w:hint="eastAsia" w:eastAsia="黑体" w:cs="黑体"/>
          <w:sz w:val="32"/>
          <w:szCs w:val="36"/>
          <w:highlight w:val="none"/>
        </w:rPr>
        <w:t>、政府采购支出预算情况说明</w:t>
      </w:r>
    </w:p>
    <w:p w14:paraId="22C65011">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 w:eastAsia="仿宋_GB2312" w:cs="仿宋"/>
          <w:color w:val="auto"/>
          <w:kern w:val="0"/>
          <w:sz w:val="32"/>
          <w:szCs w:val="32"/>
          <w:highlight w:val="none"/>
          <w:u w:val="none"/>
          <w:lang w:bidi="ar"/>
        </w:rPr>
      </w:pPr>
      <w:r>
        <w:rPr>
          <w:rFonts w:hint="eastAsia" w:ascii="仿宋_GB2312" w:hAnsi="仿宋" w:eastAsia="仿宋_GB2312" w:cs="仿宋"/>
          <w:color w:val="auto"/>
          <w:kern w:val="0"/>
          <w:sz w:val="32"/>
          <w:szCs w:val="32"/>
          <w:highlight w:val="none"/>
          <w:u w:val="none"/>
          <w:lang w:bidi="ar"/>
        </w:rPr>
        <w:t>乌海市职业技术学校单位2026年度政府采购支出预算总额</w:t>
      </w:r>
      <w:r>
        <w:rPr>
          <w:rFonts w:hint="eastAsia" w:ascii="仿宋_GB2312" w:hAnsi="仿宋" w:eastAsia="仿宋_GB2312" w:cs="仿宋"/>
          <w:color w:val="auto"/>
          <w:kern w:val="0"/>
          <w:sz w:val="32"/>
          <w:szCs w:val="32"/>
          <w:highlight w:val="none"/>
          <w:u w:val="none"/>
          <w:lang w:val="en-US" w:eastAsia="zh-CN" w:bidi="ar"/>
        </w:rPr>
        <w:t>0</w:t>
      </w:r>
      <w:r>
        <w:rPr>
          <w:rFonts w:hint="eastAsia" w:ascii="仿宋_GB2312" w:hAnsi="仿宋" w:eastAsia="仿宋_GB2312" w:cs="仿宋"/>
          <w:color w:val="auto"/>
          <w:kern w:val="0"/>
          <w:sz w:val="32"/>
          <w:szCs w:val="32"/>
          <w:highlight w:val="none"/>
          <w:u w:val="none"/>
          <w:lang w:bidi="ar"/>
        </w:rPr>
        <w:t>万元，其中：拟采购货物支出</w:t>
      </w:r>
      <w:r>
        <w:rPr>
          <w:rFonts w:hint="eastAsia" w:ascii="仿宋_GB2312" w:hAnsi="仿宋" w:eastAsia="仿宋_GB2312" w:cs="仿宋"/>
          <w:color w:val="auto"/>
          <w:kern w:val="0"/>
          <w:sz w:val="32"/>
          <w:szCs w:val="32"/>
          <w:highlight w:val="none"/>
          <w:u w:val="none"/>
          <w:lang w:val="en-US" w:eastAsia="zh-CN" w:bidi="ar"/>
        </w:rPr>
        <w:t>0</w:t>
      </w:r>
      <w:r>
        <w:rPr>
          <w:rFonts w:hint="eastAsia" w:ascii="仿宋_GB2312" w:hAnsi="仿宋" w:eastAsia="仿宋_GB2312" w:cs="仿宋"/>
          <w:color w:val="auto"/>
          <w:kern w:val="0"/>
          <w:sz w:val="32"/>
          <w:szCs w:val="32"/>
          <w:highlight w:val="none"/>
          <w:u w:val="none"/>
          <w:lang w:bidi="ar"/>
        </w:rPr>
        <w:t>万元、拟采购工程支出</w:t>
      </w:r>
      <w:r>
        <w:rPr>
          <w:rFonts w:hint="eastAsia" w:ascii="仿宋_GB2312" w:hAnsi="仿宋" w:eastAsia="仿宋_GB2312" w:cs="仿宋"/>
          <w:color w:val="auto"/>
          <w:kern w:val="0"/>
          <w:sz w:val="32"/>
          <w:szCs w:val="32"/>
          <w:highlight w:val="none"/>
          <w:u w:val="none"/>
          <w:lang w:val="en-US" w:eastAsia="zh-CN" w:bidi="ar"/>
        </w:rPr>
        <w:t>0</w:t>
      </w:r>
      <w:r>
        <w:rPr>
          <w:rFonts w:hint="eastAsia" w:ascii="仿宋_GB2312" w:hAnsi="仿宋" w:eastAsia="仿宋_GB2312" w:cs="仿宋"/>
          <w:color w:val="auto"/>
          <w:kern w:val="0"/>
          <w:sz w:val="32"/>
          <w:szCs w:val="32"/>
          <w:highlight w:val="none"/>
          <w:u w:val="none"/>
          <w:lang w:bidi="ar"/>
        </w:rPr>
        <w:t>万元、拟购买服务支出</w:t>
      </w:r>
      <w:r>
        <w:rPr>
          <w:rFonts w:hint="eastAsia" w:ascii="仿宋_GB2312" w:hAnsi="仿宋" w:eastAsia="仿宋_GB2312" w:cs="仿宋"/>
          <w:color w:val="auto"/>
          <w:kern w:val="0"/>
          <w:sz w:val="32"/>
          <w:szCs w:val="32"/>
          <w:highlight w:val="none"/>
          <w:u w:val="none"/>
          <w:lang w:val="en-US" w:eastAsia="zh-CN" w:bidi="ar"/>
        </w:rPr>
        <w:t>0</w:t>
      </w:r>
      <w:r>
        <w:rPr>
          <w:rFonts w:hint="eastAsia" w:ascii="仿宋_GB2312" w:hAnsi="仿宋" w:eastAsia="仿宋_GB2312" w:cs="仿宋"/>
          <w:color w:val="auto"/>
          <w:kern w:val="0"/>
          <w:sz w:val="32"/>
          <w:szCs w:val="32"/>
          <w:highlight w:val="none"/>
          <w:u w:val="none"/>
          <w:lang w:bidi="ar"/>
        </w:rPr>
        <w:t>万元。</w:t>
      </w:r>
    </w:p>
    <w:p w14:paraId="4B5AE90C">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lang w:val="en-US" w:eastAsia="zh-CN"/>
        </w:rPr>
        <w:t>四</w:t>
      </w:r>
      <w:r>
        <w:rPr>
          <w:rFonts w:hint="eastAsia" w:eastAsia="黑体" w:cs="黑体"/>
          <w:sz w:val="32"/>
          <w:szCs w:val="36"/>
          <w:highlight w:val="none"/>
        </w:rPr>
        <w:t>、国有资产</w:t>
      </w:r>
      <w:r>
        <w:rPr>
          <w:rFonts w:hint="eastAsia" w:ascii="黑体" w:hAnsi="黑体" w:eastAsia="黑体" w:cs="仿宋"/>
          <w:bCs/>
          <w:color w:val="auto"/>
          <w:kern w:val="0"/>
          <w:sz w:val="32"/>
          <w:szCs w:val="32"/>
          <w:lang w:bidi="ar"/>
        </w:rPr>
        <w:t>占有使用情况说明</w:t>
      </w:r>
    </w:p>
    <w:p w14:paraId="4548004B">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hAnsi="仿宋_GB2312" w:eastAsia="仿宋_GB2312" w:cs="仿宋_GB2312"/>
          <w:sz w:val="32"/>
          <w:szCs w:val="32"/>
        </w:rPr>
      </w:pPr>
      <w:r>
        <w:rPr>
          <w:rFonts w:hint="eastAsia" w:ascii="仿宋_GB2312" w:hAnsi="仿宋" w:eastAsia="仿宋_GB2312" w:cs="仿宋"/>
          <w:b/>
          <w:bCs/>
          <w:color w:val="auto"/>
          <w:kern w:val="0"/>
          <w:sz w:val="32"/>
          <w:szCs w:val="32"/>
          <w:lang w:bidi="ar"/>
        </w:rPr>
        <w:t>1.</w:t>
      </w:r>
      <w:r>
        <w:rPr>
          <w:rFonts w:hint="eastAsia" w:ascii="仿宋_GB2312" w:hAnsi="仿宋" w:eastAsia="仿宋_GB2312" w:cs="仿宋"/>
          <w:b/>
          <w:bCs/>
          <w:color w:val="auto"/>
          <w:kern w:val="0"/>
          <w:sz w:val="32"/>
          <w:szCs w:val="32"/>
          <w:lang w:val="en-US" w:eastAsia="zh-CN" w:bidi="ar"/>
        </w:rPr>
        <w:t>2026</w:t>
      </w:r>
      <w:r>
        <w:rPr>
          <w:rFonts w:hint="eastAsia" w:ascii="仿宋_GB2312" w:hAnsi="仿宋" w:eastAsia="仿宋_GB2312" w:cs="仿宋"/>
          <w:b/>
          <w:bCs/>
          <w:color w:val="auto"/>
          <w:kern w:val="0"/>
          <w:sz w:val="32"/>
          <w:szCs w:val="32"/>
          <w:lang w:eastAsia="zh-CN" w:bidi="ar"/>
        </w:rPr>
        <w:t>年</w:t>
      </w:r>
      <w:r>
        <w:rPr>
          <w:rFonts w:hint="eastAsia" w:ascii="仿宋_GB2312" w:hAnsi="仿宋" w:eastAsia="仿宋_GB2312" w:cs="仿宋"/>
          <w:b/>
          <w:bCs/>
          <w:color w:val="auto"/>
          <w:kern w:val="0"/>
          <w:sz w:val="32"/>
          <w:szCs w:val="32"/>
          <w:lang w:bidi="ar"/>
        </w:rPr>
        <w:t>公务用车及大型设备情况</w:t>
      </w:r>
      <w:r>
        <w:rPr>
          <w:rFonts w:hint="eastAsia" w:ascii="仿宋_GB2312" w:hAnsi="仿宋" w:eastAsia="仿宋_GB2312" w:cs="仿宋"/>
          <w:b/>
          <w:bCs/>
          <w:color w:val="auto"/>
          <w:kern w:val="0"/>
          <w:sz w:val="32"/>
          <w:szCs w:val="32"/>
          <w:lang w:eastAsia="zh-CN" w:bidi="ar"/>
        </w:rPr>
        <w:t>。</w:t>
      </w:r>
    </w:p>
    <w:p w14:paraId="03F30506">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 w:eastAsia="仿宋_GB2312" w:cs="仿宋"/>
          <w:color w:val="auto"/>
          <w:kern w:val="0"/>
          <w:sz w:val="32"/>
          <w:szCs w:val="32"/>
          <w:highlight w:val="none"/>
          <w:u w:val="none"/>
          <w:lang w:bidi="ar"/>
        </w:rPr>
      </w:pPr>
      <w:r>
        <w:rPr>
          <w:rFonts w:hint="eastAsia" w:ascii="仿宋_GB2312" w:hAnsi="仿宋" w:eastAsia="仿宋_GB2312" w:cs="仿宋"/>
          <w:color w:val="auto"/>
          <w:kern w:val="0"/>
          <w:sz w:val="32"/>
          <w:szCs w:val="32"/>
          <w:highlight w:val="none"/>
          <w:u w:val="none"/>
          <w:lang w:bidi="ar"/>
        </w:rPr>
        <w:t>乌海市职业技术学校单位共有车辆</w:t>
      </w:r>
      <w:r>
        <w:rPr>
          <w:rFonts w:hint="eastAsia" w:ascii="仿宋_GB2312" w:hAnsi="仿宋" w:eastAsia="仿宋_GB2312" w:cs="仿宋"/>
          <w:color w:val="auto"/>
          <w:kern w:val="0"/>
          <w:sz w:val="32"/>
          <w:szCs w:val="32"/>
          <w:highlight w:val="none"/>
          <w:u w:val="none"/>
          <w:lang w:val="en-US" w:eastAsia="zh-CN" w:bidi="ar"/>
        </w:rPr>
        <w:t>3</w:t>
      </w:r>
      <w:r>
        <w:rPr>
          <w:rFonts w:hint="eastAsia" w:ascii="仿宋_GB2312" w:hAnsi="仿宋" w:eastAsia="仿宋_GB2312" w:cs="仿宋"/>
          <w:color w:val="auto"/>
          <w:kern w:val="0"/>
          <w:sz w:val="32"/>
          <w:szCs w:val="32"/>
          <w:highlight w:val="none"/>
          <w:u w:val="none"/>
          <w:lang w:bidi="ar"/>
        </w:rPr>
        <w:t>辆，其中，机要通信应急用车1辆</w:t>
      </w:r>
      <w:r>
        <w:rPr>
          <w:rFonts w:hint="eastAsia" w:ascii="仿宋_GB2312" w:hAnsi="仿宋" w:eastAsia="仿宋_GB2312" w:cs="仿宋"/>
          <w:color w:val="auto"/>
          <w:kern w:val="0"/>
          <w:sz w:val="32"/>
          <w:szCs w:val="32"/>
          <w:highlight w:val="none"/>
          <w:u w:val="none"/>
          <w:lang w:eastAsia="zh-CN" w:bidi="ar"/>
        </w:rPr>
        <w:t>，</w:t>
      </w:r>
      <w:r>
        <w:rPr>
          <w:rFonts w:hint="eastAsia" w:ascii="仿宋_GB2312" w:hAnsi="仿宋" w:eastAsia="仿宋_GB2312" w:cs="仿宋"/>
          <w:color w:val="auto"/>
          <w:kern w:val="0"/>
          <w:sz w:val="32"/>
          <w:szCs w:val="32"/>
          <w:highlight w:val="none"/>
          <w:u w:val="none"/>
          <w:lang w:bidi="ar"/>
        </w:rPr>
        <w:t>一般公务用车</w:t>
      </w:r>
      <w:r>
        <w:rPr>
          <w:rFonts w:hint="eastAsia" w:ascii="仿宋_GB2312" w:hAnsi="仿宋" w:eastAsia="仿宋_GB2312" w:cs="仿宋"/>
          <w:color w:val="auto"/>
          <w:kern w:val="0"/>
          <w:sz w:val="32"/>
          <w:szCs w:val="32"/>
          <w:highlight w:val="none"/>
          <w:u w:val="none"/>
          <w:lang w:val="en-US" w:eastAsia="zh-CN" w:bidi="ar"/>
        </w:rPr>
        <w:t>0</w:t>
      </w:r>
      <w:r>
        <w:rPr>
          <w:rFonts w:hint="eastAsia" w:ascii="仿宋_GB2312" w:hAnsi="仿宋" w:eastAsia="仿宋_GB2312" w:cs="仿宋"/>
          <w:color w:val="auto"/>
          <w:kern w:val="0"/>
          <w:sz w:val="32"/>
          <w:szCs w:val="32"/>
          <w:highlight w:val="none"/>
          <w:u w:val="none"/>
          <w:lang w:bidi="ar"/>
        </w:rPr>
        <w:t>辆、执法执勤用车</w:t>
      </w:r>
      <w:r>
        <w:rPr>
          <w:rFonts w:hint="eastAsia" w:ascii="仿宋_GB2312" w:hAnsi="仿宋" w:eastAsia="仿宋_GB2312" w:cs="仿宋"/>
          <w:color w:val="auto"/>
          <w:kern w:val="0"/>
          <w:sz w:val="32"/>
          <w:szCs w:val="32"/>
          <w:highlight w:val="none"/>
          <w:u w:val="none"/>
          <w:lang w:val="en-US" w:eastAsia="zh-CN" w:bidi="ar"/>
        </w:rPr>
        <w:t>0</w:t>
      </w:r>
      <w:r>
        <w:rPr>
          <w:rFonts w:hint="eastAsia" w:ascii="仿宋_GB2312" w:hAnsi="仿宋" w:eastAsia="仿宋_GB2312" w:cs="仿宋"/>
          <w:color w:val="auto"/>
          <w:kern w:val="0"/>
          <w:sz w:val="32"/>
          <w:szCs w:val="32"/>
          <w:highlight w:val="none"/>
          <w:u w:val="none"/>
          <w:lang w:bidi="ar"/>
        </w:rPr>
        <w:t>辆、特种专业技术用车</w:t>
      </w:r>
      <w:r>
        <w:rPr>
          <w:rFonts w:hint="eastAsia" w:ascii="仿宋_GB2312" w:hAnsi="仿宋" w:eastAsia="仿宋_GB2312" w:cs="仿宋"/>
          <w:color w:val="auto"/>
          <w:kern w:val="0"/>
          <w:sz w:val="32"/>
          <w:szCs w:val="32"/>
          <w:highlight w:val="none"/>
          <w:u w:val="none"/>
          <w:lang w:val="en-US" w:eastAsia="zh-CN" w:bidi="ar"/>
        </w:rPr>
        <w:t>0</w:t>
      </w:r>
      <w:r>
        <w:rPr>
          <w:rFonts w:hint="eastAsia" w:ascii="仿宋_GB2312" w:hAnsi="仿宋" w:eastAsia="仿宋_GB2312" w:cs="仿宋"/>
          <w:color w:val="auto"/>
          <w:kern w:val="0"/>
          <w:sz w:val="32"/>
          <w:szCs w:val="32"/>
          <w:highlight w:val="none"/>
          <w:u w:val="none"/>
          <w:lang w:bidi="ar"/>
        </w:rPr>
        <w:t>辆、业务用车</w:t>
      </w:r>
      <w:r>
        <w:rPr>
          <w:rFonts w:hint="eastAsia" w:ascii="仿宋_GB2312" w:hAnsi="仿宋" w:eastAsia="仿宋_GB2312" w:cs="仿宋"/>
          <w:color w:val="auto"/>
          <w:kern w:val="0"/>
          <w:sz w:val="32"/>
          <w:szCs w:val="32"/>
          <w:highlight w:val="none"/>
          <w:u w:val="none"/>
          <w:lang w:val="en-US" w:eastAsia="zh-CN" w:bidi="ar"/>
        </w:rPr>
        <w:t>0</w:t>
      </w:r>
      <w:r>
        <w:rPr>
          <w:rFonts w:hint="eastAsia" w:ascii="仿宋_GB2312" w:hAnsi="仿宋" w:eastAsia="仿宋_GB2312" w:cs="仿宋"/>
          <w:color w:val="auto"/>
          <w:kern w:val="0"/>
          <w:sz w:val="32"/>
          <w:szCs w:val="32"/>
          <w:highlight w:val="none"/>
          <w:u w:val="none"/>
          <w:lang w:bidi="ar"/>
        </w:rPr>
        <w:t>辆、其他用车</w:t>
      </w:r>
      <w:r>
        <w:rPr>
          <w:rFonts w:hint="eastAsia" w:ascii="仿宋_GB2312" w:hAnsi="仿宋" w:eastAsia="仿宋_GB2312" w:cs="仿宋"/>
          <w:color w:val="auto"/>
          <w:kern w:val="0"/>
          <w:sz w:val="32"/>
          <w:szCs w:val="32"/>
          <w:highlight w:val="none"/>
          <w:u w:val="none"/>
          <w:lang w:val="en-US" w:eastAsia="zh-CN" w:bidi="ar"/>
        </w:rPr>
        <w:t>2</w:t>
      </w:r>
      <w:r>
        <w:rPr>
          <w:rFonts w:hint="eastAsia" w:ascii="仿宋_GB2312" w:hAnsi="仿宋" w:eastAsia="仿宋_GB2312" w:cs="仿宋"/>
          <w:color w:val="auto"/>
          <w:kern w:val="0"/>
          <w:sz w:val="32"/>
          <w:szCs w:val="32"/>
          <w:highlight w:val="none"/>
          <w:u w:val="none"/>
          <w:lang w:bidi="ar"/>
        </w:rPr>
        <w:t>辆等。</w:t>
      </w:r>
    </w:p>
    <w:p w14:paraId="7BE771DE">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 w:eastAsia="仿宋_GB2312" w:cs="仿宋"/>
          <w:color w:val="auto"/>
          <w:kern w:val="0"/>
          <w:sz w:val="32"/>
          <w:szCs w:val="32"/>
          <w:highlight w:val="none"/>
          <w:u w:val="none"/>
          <w:lang w:bidi="ar"/>
        </w:rPr>
      </w:pPr>
      <w:r>
        <w:rPr>
          <w:rFonts w:hint="eastAsia" w:ascii="仿宋_GB2312" w:hAnsi="仿宋" w:eastAsia="仿宋_GB2312" w:cs="仿宋"/>
          <w:color w:val="auto"/>
          <w:kern w:val="0"/>
          <w:sz w:val="32"/>
          <w:szCs w:val="32"/>
          <w:highlight w:val="none"/>
          <w:u w:val="none"/>
          <w:lang w:bidi="ar"/>
        </w:rPr>
        <w:t>单价50万元（含）以上的通用设备</w:t>
      </w:r>
      <w:r>
        <w:rPr>
          <w:rFonts w:hint="eastAsia" w:ascii="仿宋_GB2312" w:hAnsi="仿宋" w:eastAsia="仿宋_GB2312" w:cs="仿宋"/>
          <w:color w:val="auto"/>
          <w:kern w:val="0"/>
          <w:sz w:val="32"/>
          <w:szCs w:val="32"/>
          <w:highlight w:val="none"/>
          <w:u w:val="none"/>
          <w:lang w:val="en-US" w:eastAsia="zh-CN" w:bidi="ar"/>
        </w:rPr>
        <w:t>7</w:t>
      </w:r>
      <w:r>
        <w:rPr>
          <w:rFonts w:hint="eastAsia" w:ascii="仿宋_GB2312" w:hAnsi="仿宋" w:eastAsia="仿宋_GB2312" w:cs="仿宋"/>
          <w:color w:val="auto"/>
          <w:kern w:val="0"/>
          <w:sz w:val="32"/>
          <w:szCs w:val="32"/>
          <w:highlight w:val="none"/>
          <w:u w:val="none"/>
          <w:lang w:bidi="ar"/>
        </w:rPr>
        <w:t>台（套），单价100万元（含）以上的专用设备</w:t>
      </w:r>
      <w:r>
        <w:rPr>
          <w:rFonts w:hint="eastAsia" w:ascii="仿宋_GB2312" w:hAnsi="仿宋" w:eastAsia="仿宋_GB2312" w:cs="仿宋"/>
          <w:color w:val="auto"/>
          <w:kern w:val="0"/>
          <w:sz w:val="32"/>
          <w:szCs w:val="32"/>
          <w:highlight w:val="none"/>
          <w:u w:val="none"/>
          <w:lang w:val="en-US" w:eastAsia="zh-CN" w:bidi="ar"/>
        </w:rPr>
        <w:t>2</w:t>
      </w:r>
      <w:r>
        <w:rPr>
          <w:rFonts w:hint="eastAsia" w:ascii="仿宋_GB2312" w:hAnsi="仿宋" w:eastAsia="仿宋_GB2312" w:cs="仿宋"/>
          <w:color w:val="auto"/>
          <w:kern w:val="0"/>
          <w:sz w:val="32"/>
          <w:szCs w:val="32"/>
          <w:highlight w:val="none"/>
          <w:u w:val="none"/>
          <w:lang w:bidi="ar"/>
        </w:rPr>
        <w:t>台（套）。</w:t>
      </w:r>
    </w:p>
    <w:p w14:paraId="2321A430">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hAnsi="仿宋" w:eastAsia="仿宋_GB2312" w:cs="仿宋"/>
          <w:b/>
          <w:bCs/>
          <w:color w:val="auto"/>
          <w:kern w:val="0"/>
          <w:sz w:val="32"/>
          <w:szCs w:val="32"/>
          <w:lang w:eastAsia="zh-CN" w:bidi="ar"/>
        </w:rPr>
      </w:pPr>
      <w:r>
        <w:rPr>
          <w:rFonts w:hint="eastAsia" w:ascii="仿宋_GB2312" w:hAnsi="仿宋" w:eastAsia="仿宋_GB2312" w:cs="仿宋"/>
          <w:b/>
          <w:bCs/>
          <w:color w:val="auto"/>
          <w:kern w:val="0"/>
          <w:sz w:val="32"/>
          <w:szCs w:val="32"/>
          <w:lang w:bidi="ar"/>
        </w:rPr>
        <w:t>2.</w:t>
      </w:r>
      <w:r>
        <w:rPr>
          <w:rFonts w:hint="eastAsia" w:ascii="仿宋_GB2312" w:hAnsi="仿宋" w:eastAsia="仿宋_GB2312" w:cs="仿宋"/>
          <w:b/>
          <w:bCs/>
          <w:color w:val="auto"/>
          <w:kern w:val="0"/>
          <w:sz w:val="32"/>
          <w:szCs w:val="32"/>
          <w:lang w:val="en-US" w:eastAsia="zh-CN" w:bidi="ar"/>
        </w:rPr>
        <w:t>2026</w:t>
      </w:r>
      <w:r>
        <w:rPr>
          <w:rFonts w:hint="eastAsia" w:ascii="仿宋_GB2312" w:hAnsi="仿宋" w:eastAsia="仿宋_GB2312" w:cs="仿宋"/>
          <w:b/>
          <w:bCs/>
          <w:color w:val="auto"/>
          <w:kern w:val="0"/>
          <w:sz w:val="32"/>
          <w:szCs w:val="32"/>
          <w:lang w:eastAsia="zh-CN" w:bidi="ar"/>
        </w:rPr>
        <w:t>年</w:t>
      </w:r>
      <w:r>
        <w:rPr>
          <w:rFonts w:hint="eastAsia" w:ascii="仿宋_GB2312" w:hAnsi="仿宋" w:eastAsia="仿宋_GB2312" w:cs="仿宋"/>
          <w:b/>
          <w:bCs/>
          <w:color w:val="auto"/>
          <w:kern w:val="0"/>
          <w:sz w:val="32"/>
          <w:szCs w:val="32"/>
          <w:lang w:bidi="ar"/>
        </w:rPr>
        <w:t>房屋建筑物情况</w:t>
      </w:r>
      <w:r>
        <w:rPr>
          <w:rFonts w:hint="eastAsia" w:ascii="仿宋_GB2312" w:hAnsi="仿宋" w:eastAsia="仿宋_GB2312" w:cs="仿宋"/>
          <w:b/>
          <w:bCs/>
          <w:color w:val="auto"/>
          <w:kern w:val="0"/>
          <w:sz w:val="32"/>
          <w:szCs w:val="32"/>
          <w:lang w:eastAsia="zh-CN" w:bidi="ar"/>
        </w:rPr>
        <w:t>。</w:t>
      </w:r>
    </w:p>
    <w:p w14:paraId="366CFD86">
      <w:pPr>
        <w:keepNext w:val="0"/>
        <w:keepLines w:val="0"/>
        <w:widowControl/>
        <w:suppressLineNumbers w:val="0"/>
        <w:jc w:val="left"/>
      </w:pPr>
      <w:r>
        <w:rPr>
          <w:rFonts w:hint="eastAsia" w:ascii="仿宋_GB2312" w:hAnsi="仿宋" w:eastAsia="仿宋_GB2312" w:cs="仿宋"/>
          <w:color w:val="auto"/>
          <w:kern w:val="0"/>
          <w:sz w:val="32"/>
          <w:szCs w:val="32"/>
          <w:lang w:bidi="ar"/>
        </w:rPr>
        <w:t>房屋建筑面积</w:t>
      </w:r>
      <w:r>
        <w:rPr>
          <w:rFonts w:ascii="仿宋_GB2312" w:hAnsi="仿宋_GB2312" w:eastAsia="仿宋_GB2312" w:cs="仿宋_GB2312"/>
          <w:color w:val="000000"/>
          <w:kern w:val="0"/>
          <w:sz w:val="31"/>
          <w:szCs w:val="31"/>
          <w:lang w:val="en-US" w:eastAsia="zh-CN" w:bidi="ar"/>
        </w:rPr>
        <w:t>55,491.56</w:t>
      </w:r>
      <w:r>
        <w:rPr>
          <w:rFonts w:hint="eastAsia" w:ascii="仿宋_GB2312" w:hAnsi="仿宋" w:eastAsia="仿宋_GB2312" w:cs="仿宋"/>
          <w:color w:val="auto"/>
          <w:kern w:val="0"/>
          <w:sz w:val="32"/>
          <w:szCs w:val="32"/>
          <w:lang w:bidi="ar"/>
        </w:rPr>
        <w:t>平方</w:t>
      </w:r>
      <w:r>
        <w:rPr>
          <w:rFonts w:hint="eastAsia" w:ascii="仿宋_GB2312" w:hAnsi="仿宋" w:eastAsia="仿宋_GB2312" w:cs="仿宋"/>
          <w:color w:val="auto"/>
          <w:kern w:val="0"/>
          <w:sz w:val="32"/>
          <w:szCs w:val="32"/>
          <w:u w:val="none"/>
          <w:lang w:bidi="ar"/>
        </w:rPr>
        <w:t>米，其中办公用房</w:t>
      </w:r>
      <w:r>
        <w:rPr>
          <w:rFonts w:hint="eastAsia" w:ascii="仿宋" w:hAnsi="仿宋" w:eastAsia="仿宋" w:cs="仿宋"/>
          <w:color w:val="auto"/>
          <w:sz w:val="32"/>
          <w:szCs w:val="32"/>
          <w:u w:val="none"/>
          <w:lang w:val="en-US" w:eastAsia="zh-CN"/>
        </w:rPr>
        <w:t>5,000</w:t>
      </w:r>
      <w:r>
        <w:rPr>
          <w:rFonts w:hint="eastAsia" w:ascii="仿宋_GB2312" w:hAnsi="仿宋" w:eastAsia="仿宋_GB2312" w:cs="仿宋"/>
          <w:color w:val="auto"/>
          <w:kern w:val="0"/>
          <w:sz w:val="32"/>
          <w:szCs w:val="32"/>
          <w:u w:val="none"/>
          <w:lang w:bidi="ar"/>
        </w:rPr>
        <w:t>平方米、业务用房</w:t>
      </w:r>
      <w:r>
        <w:rPr>
          <w:rFonts w:ascii="仿宋_GB2312" w:hAnsi="仿宋_GB2312" w:eastAsia="仿宋_GB2312" w:cs="仿宋_GB2312"/>
          <w:color w:val="000000"/>
          <w:kern w:val="0"/>
          <w:sz w:val="31"/>
          <w:szCs w:val="31"/>
          <w:u w:val="none"/>
          <w:lang w:val="en-US" w:eastAsia="zh-CN" w:bidi="ar"/>
        </w:rPr>
        <w:t>50,491.56</w:t>
      </w:r>
      <w:r>
        <w:rPr>
          <w:rFonts w:hint="eastAsia" w:ascii="仿宋_GB2312" w:hAnsi="仿宋" w:eastAsia="仿宋_GB2312" w:cs="仿宋"/>
          <w:color w:val="auto"/>
          <w:kern w:val="0"/>
          <w:sz w:val="32"/>
          <w:szCs w:val="32"/>
          <w:u w:val="none"/>
          <w:lang w:bidi="ar"/>
        </w:rPr>
        <w:t>方米、其他（不含构筑物）</w:t>
      </w:r>
      <w:r>
        <w:rPr>
          <w:rFonts w:hint="eastAsia" w:ascii="仿宋" w:hAnsi="仿宋" w:eastAsia="仿宋" w:cs="仿宋"/>
          <w:color w:val="auto"/>
          <w:sz w:val="32"/>
          <w:szCs w:val="32"/>
          <w:u w:val="none"/>
          <w:lang w:val="en-US" w:eastAsia="zh-CN"/>
        </w:rPr>
        <w:t>0</w:t>
      </w:r>
      <w:r>
        <w:rPr>
          <w:rFonts w:hint="eastAsia" w:ascii="仿宋_GB2312" w:hAnsi="仿宋" w:eastAsia="仿宋_GB2312" w:cs="仿宋"/>
          <w:color w:val="auto"/>
          <w:kern w:val="0"/>
          <w:sz w:val="32"/>
          <w:szCs w:val="32"/>
          <w:u w:val="none"/>
          <w:lang w:bidi="ar"/>
        </w:rPr>
        <w:t>平方米，较上年增加</w:t>
      </w:r>
      <w:r>
        <w:rPr>
          <w:rFonts w:hint="eastAsia" w:ascii="仿宋" w:hAnsi="仿宋" w:eastAsia="仿宋" w:cs="仿宋"/>
          <w:color w:val="auto"/>
          <w:sz w:val="32"/>
          <w:szCs w:val="32"/>
          <w:u w:val="none"/>
          <w:lang w:val="en-US" w:eastAsia="zh-CN"/>
        </w:rPr>
        <w:t>0</w:t>
      </w:r>
      <w:r>
        <w:rPr>
          <w:rFonts w:hint="eastAsia" w:ascii="仿宋_GB2312" w:hAnsi="仿宋" w:eastAsia="仿宋_GB2312" w:cs="仿宋"/>
          <w:color w:val="auto"/>
          <w:kern w:val="0"/>
          <w:sz w:val="32"/>
          <w:szCs w:val="32"/>
          <w:u w:val="none"/>
          <w:lang w:bidi="ar"/>
        </w:rPr>
        <w:t>平方米，增加原因</w:t>
      </w:r>
      <w:r>
        <w:rPr>
          <w:rFonts w:hint="eastAsia" w:ascii="仿宋_GB2312" w:hAnsi="仿宋" w:eastAsia="仿宋_GB2312" w:cs="仿宋"/>
          <w:color w:val="auto"/>
          <w:kern w:val="0"/>
          <w:sz w:val="32"/>
          <w:szCs w:val="32"/>
          <w:u w:val="none"/>
          <w:lang w:val="en-US" w:eastAsia="zh-CN" w:bidi="ar"/>
        </w:rPr>
        <w:t>与上年一致</w:t>
      </w:r>
      <w:r>
        <w:rPr>
          <w:rFonts w:hint="eastAsia" w:ascii="仿宋_GB2312" w:hAnsi="仿宋" w:eastAsia="仿宋_GB2312" w:cs="仿宋"/>
          <w:color w:val="auto"/>
          <w:kern w:val="0"/>
          <w:sz w:val="32"/>
          <w:szCs w:val="32"/>
          <w:u w:val="none"/>
          <w:lang w:bidi="ar"/>
        </w:rPr>
        <w:t>。</w:t>
      </w:r>
    </w:p>
    <w:p w14:paraId="19EAE474">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黑体" w:hAnsi="黑体" w:eastAsia="黑体"/>
          <w:color w:val="auto"/>
          <w:sz w:val="32"/>
          <w:szCs w:val="32"/>
        </w:rPr>
      </w:pPr>
      <w:r>
        <w:rPr>
          <w:rFonts w:hint="eastAsia" w:ascii="黑体" w:hAnsi="黑体" w:eastAsia="黑体" w:cs="仿宋"/>
          <w:bCs/>
          <w:color w:val="auto"/>
          <w:kern w:val="0"/>
          <w:sz w:val="32"/>
          <w:szCs w:val="32"/>
          <w:lang w:bidi="ar"/>
        </w:rPr>
        <w:t>五、</w:t>
      </w:r>
      <w:r>
        <w:rPr>
          <w:rFonts w:hint="eastAsia" w:ascii="黑体" w:hAnsi="黑体" w:eastAsia="黑体" w:cs="仿宋"/>
          <w:bCs/>
          <w:color w:val="auto"/>
          <w:kern w:val="0"/>
          <w:sz w:val="32"/>
          <w:szCs w:val="32"/>
          <w:lang w:val="en-US" w:eastAsia="zh-CN" w:bidi="ar"/>
        </w:rPr>
        <w:t>单位</w:t>
      </w:r>
      <w:r>
        <w:rPr>
          <w:rFonts w:hint="eastAsia" w:ascii="黑体" w:hAnsi="黑体" w:eastAsia="黑体" w:cs="仿宋"/>
          <w:bCs/>
          <w:color w:val="auto"/>
          <w:kern w:val="0"/>
          <w:sz w:val="32"/>
          <w:szCs w:val="32"/>
          <w:lang w:bidi="ar"/>
        </w:rPr>
        <w:t>组织征收收入计划</w:t>
      </w:r>
    </w:p>
    <w:p w14:paraId="731CA348">
      <w:pPr>
        <w:spacing w:line="600" w:lineRule="exact"/>
        <w:ind w:left="0" w:leftChars="0" w:firstLine="640" w:firstLineChars="200"/>
        <w:outlineLvl w:val="2"/>
        <w:rPr>
          <w:rFonts w:hint="eastAsia" w:eastAsia="黑体" w:cs="黑体"/>
          <w:sz w:val="32"/>
          <w:szCs w:val="36"/>
          <w:highlight w:val="none"/>
        </w:rPr>
      </w:pPr>
      <w:r>
        <w:rPr>
          <w:rFonts w:hint="eastAsia" w:ascii="仿宋_GB2312" w:hAnsi="仿宋_GB2312" w:eastAsia="仿宋_GB2312" w:cs="仿宋_GB2312"/>
          <w:color w:val="auto"/>
          <w:kern w:val="0"/>
          <w:sz w:val="32"/>
          <w:szCs w:val="32"/>
          <w:lang w:val="en-US" w:eastAsia="zh-CN" w:bidi="ar"/>
        </w:rPr>
        <w:t>2026</w:t>
      </w:r>
      <w:r>
        <w:rPr>
          <w:rFonts w:hint="eastAsia" w:ascii="仿宋_GB2312" w:hAnsi="仿宋_GB2312" w:eastAsia="仿宋_GB2312" w:cs="仿宋_GB2312"/>
          <w:color w:val="auto"/>
          <w:kern w:val="0"/>
          <w:sz w:val="32"/>
          <w:szCs w:val="32"/>
          <w:lang w:eastAsia="zh-CN" w:bidi="ar"/>
        </w:rPr>
        <w:t>年</w:t>
      </w:r>
      <w:r>
        <w:rPr>
          <w:rFonts w:hint="eastAsia" w:ascii="仿宋_GB2312" w:hAnsi="仿宋" w:eastAsia="仿宋_GB2312" w:cs="仿宋"/>
          <w:color w:val="auto"/>
          <w:kern w:val="0"/>
          <w:sz w:val="32"/>
          <w:szCs w:val="32"/>
          <w:highlight w:val="none"/>
          <w:u w:val="none"/>
          <w:lang w:bidi="ar"/>
        </w:rPr>
        <w:t>乌海市职业技术学校单位</w:t>
      </w:r>
      <w:r>
        <w:rPr>
          <w:rFonts w:hint="eastAsia" w:ascii="仿宋_GB2312" w:hAnsi="仿宋_GB2312" w:eastAsia="仿宋_GB2312" w:cs="仿宋_GB2312"/>
          <w:color w:val="auto"/>
          <w:kern w:val="0"/>
          <w:sz w:val="32"/>
          <w:szCs w:val="32"/>
          <w:lang w:bidi="ar"/>
        </w:rPr>
        <w:t>组织征收收入计划</w:t>
      </w:r>
      <w:r>
        <w:rPr>
          <w:rFonts w:hint="eastAsia" w:ascii="仿宋_GB2312" w:hAnsi="仿宋_GB2312" w:eastAsia="仿宋_GB2312" w:cs="仿宋_GB2312"/>
          <w:color w:val="auto"/>
          <w:sz w:val="32"/>
          <w:szCs w:val="32"/>
          <w:u w:val="single"/>
          <w:lang w:val="en-US" w:eastAsia="zh-CN"/>
        </w:rPr>
        <w:t>0</w:t>
      </w:r>
      <w:r>
        <w:rPr>
          <w:rFonts w:hint="eastAsia" w:ascii="仿宋_GB2312" w:hAnsi="仿宋_GB2312" w:eastAsia="仿宋_GB2312" w:cs="仿宋_GB2312"/>
          <w:color w:val="auto"/>
          <w:kern w:val="0"/>
          <w:sz w:val="32"/>
          <w:szCs w:val="32"/>
          <w:lang w:bidi="ar"/>
        </w:rPr>
        <w:t>万元，全部纳入预算管理。</w:t>
      </w:r>
    </w:p>
    <w:p w14:paraId="29C1838F">
      <w:pPr>
        <w:spacing w:line="600" w:lineRule="exact"/>
        <w:ind w:left="0" w:leftChars="0" w:firstLine="640" w:firstLineChars="200"/>
        <w:outlineLvl w:val="2"/>
        <w:rPr>
          <w:rFonts w:hint="eastAsia"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color w:val="auto"/>
          <w:kern w:val="0"/>
          <w:sz w:val="32"/>
          <w:szCs w:val="32"/>
          <w:lang w:val="en-US" w:eastAsia="zh-CN" w:bidi="ar"/>
        </w:rPr>
        <w:t>我单位无征收收入。</w:t>
      </w:r>
    </w:p>
    <w:p w14:paraId="0CD1C396">
      <w:pPr>
        <w:spacing w:line="600" w:lineRule="exact"/>
        <w:ind w:left="0" w:leftChars="0" w:firstLine="640" w:firstLineChars="200"/>
        <w:outlineLvl w:val="2"/>
        <w:rPr>
          <w:rFonts w:hint="eastAsia" w:eastAsia="黑体" w:cs="黑体"/>
          <w:sz w:val="32"/>
          <w:szCs w:val="36"/>
          <w:highlight w:val="none"/>
          <w:lang w:eastAsia="zh-CN"/>
        </w:rPr>
      </w:pPr>
      <w:r>
        <w:rPr>
          <w:rFonts w:hint="eastAsia" w:eastAsia="黑体" w:cs="黑体"/>
          <w:sz w:val="32"/>
          <w:szCs w:val="36"/>
          <w:highlight w:val="none"/>
          <w:lang w:val="en-US" w:eastAsia="zh-CN"/>
        </w:rPr>
        <w:t>六</w:t>
      </w:r>
      <w:r>
        <w:rPr>
          <w:rFonts w:hint="eastAsia" w:eastAsia="黑体" w:cs="黑体"/>
          <w:sz w:val="32"/>
          <w:szCs w:val="36"/>
          <w:highlight w:val="none"/>
        </w:rPr>
        <w:t>、</w:t>
      </w:r>
      <w:r>
        <w:rPr>
          <w:rFonts w:hint="eastAsia" w:ascii="黑体" w:hAnsi="黑体" w:eastAsia="黑体" w:cs="仿宋"/>
          <w:bCs/>
          <w:color w:val="auto"/>
          <w:kern w:val="0"/>
          <w:sz w:val="32"/>
          <w:szCs w:val="32"/>
          <w:lang w:bidi="ar"/>
        </w:rPr>
        <w:t>绩效目标设置情况说明</w:t>
      </w:r>
    </w:p>
    <w:p w14:paraId="48EE441C">
      <w:pPr>
        <w:spacing w:line="600" w:lineRule="exact"/>
        <w:ind w:left="0" w:leftChars="0" w:firstLine="640" w:firstLineChars="200"/>
        <w:outlineLvl w:val="2"/>
        <w:rPr>
          <w:rFonts w:hint="eastAsia"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color w:val="auto"/>
          <w:kern w:val="0"/>
          <w:sz w:val="32"/>
          <w:szCs w:val="32"/>
          <w:lang w:val="en-US" w:eastAsia="zh-CN" w:bidi="ar"/>
        </w:rPr>
        <w:t>乌海市职业技术学校单位本年填报绩效目标的预算项目4个，公开绩效目标4个，涉密不进行公开的项目0个，公开项目占全部预算项目的100%。公开填报绩效目标的项目支出预算143万元，占全部项目支出预算的100%。根据部门预算编制要求，对项目预算的绩效目标进行设置。从预算执行、产出、效益、满意度等多方面对预算项目进行综合绩效管理。设计具体项目绩效指标7项，二级指标体系中：数量指标8项，包括外聘教师人数、学生人数等；质量指标8项，包括双优学校建设完成率、外聘教师教学任务完成率等；时效指标8项，包括项目完成时间、项目时效等；成本指标8项，包括单位成本、总成本等；社会效益指标4项，包括保障兼职教师待遇等；可持续影响指标4项，包括教学质量持续提高等；服务对象满意度指标4项，包括师生满意度等。</w:t>
      </w:r>
    </w:p>
    <w:p w14:paraId="3AFA6C4B">
      <w:pPr>
        <w:keepNext w:val="0"/>
        <w:keepLines w:val="0"/>
        <w:pageBreakBefore w:val="0"/>
        <w:widowControl/>
        <w:kinsoku/>
        <w:wordWrap/>
        <w:overflowPunct/>
        <w:topLinePunct w:val="0"/>
        <w:autoSpaceDE/>
        <w:autoSpaceDN/>
        <w:bidi w:val="0"/>
        <w:adjustRightInd/>
        <w:snapToGrid/>
        <w:spacing w:line="560" w:lineRule="exact"/>
        <w:ind w:left="0" w:leftChars="0" w:firstLine="723" w:firstLineChars="200"/>
        <w:jc w:val="center"/>
        <w:textAlignment w:val="auto"/>
        <w:rPr>
          <w:rFonts w:hint="eastAsia" w:ascii="仿宋_GB2312" w:hAnsi="仿宋" w:eastAsia="仿宋_GB2312" w:cs="仿宋"/>
          <w:b/>
          <w:bCs/>
          <w:color w:val="auto"/>
          <w:kern w:val="0"/>
          <w:sz w:val="36"/>
          <w:szCs w:val="32"/>
          <w:lang w:bidi="ar"/>
        </w:rPr>
      </w:pPr>
      <w:bookmarkStart w:id="2" w:name="_Toc15573"/>
      <w:r>
        <w:rPr>
          <w:rFonts w:hint="eastAsia" w:ascii="仿宋_GB2312" w:hAnsi="仿宋" w:eastAsia="仿宋_GB2312" w:cs="仿宋"/>
          <w:b/>
          <w:bCs/>
          <w:color w:val="auto"/>
          <w:kern w:val="0"/>
          <w:sz w:val="36"/>
          <w:szCs w:val="32"/>
          <w:lang w:bidi="ar"/>
        </w:rPr>
        <w:t>第</w:t>
      </w:r>
      <w:r>
        <w:rPr>
          <w:rFonts w:hint="eastAsia" w:ascii="仿宋_GB2312" w:hAnsi="仿宋" w:eastAsia="仿宋_GB2312" w:cs="仿宋"/>
          <w:b/>
          <w:bCs/>
          <w:color w:val="auto"/>
          <w:kern w:val="0"/>
          <w:sz w:val="36"/>
          <w:szCs w:val="32"/>
          <w:lang w:val="en-US" w:eastAsia="zh-CN" w:bidi="ar"/>
        </w:rPr>
        <w:t>四</w:t>
      </w:r>
      <w:r>
        <w:rPr>
          <w:rFonts w:hint="eastAsia" w:ascii="仿宋_GB2312" w:hAnsi="仿宋" w:eastAsia="仿宋_GB2312" w:cs="仿宋"/>
          <w:b/>
          <w:bCs/>
          <w:color w:val="auto"/>
          <w:kern w:val="0"/>
          <w:sz w:val="36"/>
          <w:szCs w:val="32"/>
          <w:lang w:bidi="ar"/>
        </w:rPr>
        <w:t>部分</w:t>
      </w:r>
      <w:r>
        <w:rPr>
          <w:rFonts w:hint="eastAsia" w:ascii="仿宋_GB2312" w:hAnsi="仿宋" w:eastAsia="仿宋_GB2312" w:cs="仿宋"/>
          <w:b/>
          <w:bCs/>
          <w:color w:val="auto"/>
          <w:kern w:val="0"/>
          <w:sz w:val="36"/>
          <w:szCs w:val="32"/>
          <w:lang w:val="en-US" w:eastAsia="zh-CN" w:bidi="ar"/>
        </w:rPr>
        <w:t xml:space="preserve"> </w:t>
      </w:r>
      <w:r>
        <w:rPr>
          <w:rFonts w:hint="eastAsia" w:ascii="仿宋_GB2312" w:hAnsi="仿宋" w:eastAsia="仿宋_GB2312" w:cs="仿宋"/>
          <w:b/>
          <w:bCs/>
          <w:color w:val="auto"/>
          <w:kern w:val="0"/>
          <w:sz w:val="36"/>
          <w:szCs w:val="32"/>
          <w:lang w:bidi="ar"/>
        </w:rPr>
        <w:t>名词解释</w:t>
      </w:r>
      <w:bookmarkEnd w:id="2"/>
    </w:p>
    <w:p w14:paraId="3FD63565">
      <w:pPr>
        <w:rPr>
          <w:sz w:val="36"/>
          <w:szCs w:val="36"/>
          <w:highlight w:val="none"/>
        </w:rPr>
      </w:pPr>
    </w:p>
    <w:p w14:paraId="219E1658">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一、财政拨款：</w:t>
      </w:r>
      <w:r>
        <w:rPr>
          <w:rFonts w:hint="eastAsia" w:eastAsia="仿宋_GB2312" w:cstheme="minorBidi"/>
          <w:sz w:val="32"/>
          <w:szCs w:val="32"/>
          <w:highlight w:val="none"/>
        </w:rPr>
        <w:t>从同级财政部门取得的各类财政拨款，包括一般公共预算拨款、政府性基金预算拨款、国有资本经营预算拨款。</w:t>
      </w:r>
    </w:p>
    <w:p w14:paraId="67F62180">
      <w:pPr>
        <w:spacing w:line="600" w:lineRule="exact"/>
        <w:ind w:firstLine="643" w:firstLineChars="200"/>
        <w:rPr>
          <w:highlight w:val="none"/>
        </w:rPr>
      </w:pPr>
      <w:r>
        <w:rPr>
          <w:rFonts w:hint="eastAsia" w:eastAsia="仿宋_GB2312" w:cstheme="minorBidi"/>
          <w:b/>
          <w:bCs/>
          <w:sz w:val="32"/>
          <w:szCs w:val="32"/>
          <w:highlight w:val="none"/>
        </w:rPr>
        <w:t>二、一般公共预算拨款收入：</w:t>
      </w:r>
      <w:r>
        <w:rPr>
          <w:rFonts w:hint="eastAsia" w:ascii="Times New Roman" w:hAnsi="Times New Roman" w:eastAsia="仿宋_GB2312" w:cs="仿宋"/>
          <w:bCs/>
          <w:sz w:val="30"/>
          <w:szCs w:val="30"/>
          <w:highlight w:val="none"/>
        </w:rPr>
        <w:t>指财政当年拨付的资金。</w:t>
      </w:r>
    </w:p>
    <w:p w14:paraId="3FB4E078">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三、财政专户管理资金：</w:t>
      </w:r>
      <w:r>
        <w:rPr>
          <w:rFonts w:hint="eastAsia" w:eastAsia="仿宋_GB2312" w:cstheme="minorBidi"/>
          <w:sz w:val="32"/>
          <w:szCs w:val="32"/>
          <w:highlight w:val="none"/>
        </w:rPr>
        <w:t>缴入财政专户、实行专项管理的高中以上学费、住宿费、高校委托培养费、函大、电大、夜大及短训班培训费等教育收费。</w:t>
      </w:r>
    </w:p>
    <w:p w14:paraId="480B07D1">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四、单位资金：</w:t>
      </w:r>
      <w:r>
        <w:rPr>
          <w:rFonts w:hint="eastAsia" w:eastAsia="仿宋_GB2312" w:cstheme="minorBidi"/>
          <w:sz w:val="32"/>
          <w:szCs w:val="32"/>
          <w:highlight w:val="none"/>
        </w:rPr>
        <w:t>除财政拨款收入和财政专户管理资金以外的收入，包括事业收入（不含教育收费）、上级补助收入、附属单位上缴收入、事业单位经营收入及其他收入（包含债务收入、投资收益等）。</w:t>
      </w:r>
    </w:p>
    <w:p w14:paraId="569C7528">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五、基本支出：</w:t>
      </w:r>
      <w:r>
        <w:rPr>
          <w:rFonts w:hint="eastAsia" w:eastAsia="仿宋_GB2312" w:cstheme="minorBidi"/>
          <w:sz w:val="32"/>
          <w:szCs w:val="32"/>
          <w:highlight w:val="none"/>
        </w:rPr>
        <w:t>指为保障机构正常运转、完成工作任务而发生的人员支出和公用支出。</w:t>
      </w:r>
    </w:p>
    <w:p w14:paraId="549FEA62">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六、项目支出：</w:t>
      </w:r>
      <w:r>
        <w:rPr>
          <w:rFonts w:hint="eastAsia" w:eastAsia="仿宋_GB2312" w:cstheme="minorBidi"/>
          <w:sz w:val="32"/>
          <w:szCs w:val="32"/>
          <w:highlight w:val="none"/>
        </w:rPr>
        <w:t>指在基本支出之外为完成特定工作任务和事业发展目标所发生的支出。</w:t>
      </w:r>
    </w:p>
    <w:p w14:paraId="56A8792B">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七、对个人和家庭的补助：</w:t>
      </w:r>
      <w:r>
        <w:rPr>
          <w:rFonts w:hint="eastAsia" w:eastAsia="仿宋_GB2312" w:cstheme="minorBidi"/>
          <w:sz w:val="32"/>
          <w:szCs w:val="32"/>
          <w:highlight w:val="none"/>
        </w:rPr>
        <w:t>是指政府用于对个人和家庭的补助支出。</w:t>
      </w:r>
    </w:p>
    <w:p w14:paraId="04381B99">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八、“三公”经费：</w:t>
      </w:r>
      <w:r>
        <w:rPr>
          <w:rFonts w:hint="eastAsia" w:eastAsia="仿宋_GB2312" w:cstheme="minorBidi"/>
          <w:sz w:val="32"/>
          <w:szCs w:val="32"/>
          <w:highlight w:val="none"/>
        </w:rPr>
        <w:t>指部门</w:t>
      </w:r>
      <w:r>
        <w:rPr>
          <w:rFonts w:hint="eastAsia" w:eastAsia="仿宋_GB2312" w:cstheme="minorBidi"/>
          <w:sz w:val="32"/>
          <w:szCs w:val="32"/>
          <w:highlight w:val="none"/>
          <w:lang w:eastAsia="zh-CN"/>
        </w:rPr>
        <w:t>（</w:t>
      </w:r>
      <w:r>
        <w:rPr>
          <w:rFonts w:hint="eastAsia" w:eastAsia="仿宋_GB2312" w:cstheme="minorBidi"/>
          <w:sz w:val="32"/>
          <w:szCs w:val="32"/>
          <w:highlight w:val="none"/>
        </w:rPr>
        <w:t>单位</w:t>
      </w:r>
      <w:r>
        <w:rPr>
          <w:rFonts w:hint="eastAsia" w:eastAsia="仿宋_GB2312" w:cstheme="minorBidi"/>
          <w:sz w:val="32"/>
          <w:szCs w:val="32"/>
          <w:highlight w:val="none"/>
          <w:lang w:eastAsia="zh-CN"/>
        </w:rPr>
        <w:t>）</w:t>
      </w:r>
      <w:r>
        <w:rPr>
          <w:rFonts w:hint="eastAsia" w:eastAsia="仿宋_GB2312" w:cstheme="minorBidi"/>
          <w:sz w:val="32"/>
          <w:szCs w:val="32"/>
          <w:highlight w:val="none"/>
        </w:rPr>
        <w:t>用一般公共预算财政拨款安排的因公出国（境）费、公务用车购置及运行维护费和公务接待费。其中，因公出国（境）费反映部门</w:t>
      </w:r>
      <w:r>
        <w:rPr>
          <w:rFonts w:hint="eastAsia" w:eastAsia="仿宋_GB2312" w:cstheme="minorBidi"/>
          <w:sz w:val="32"/>
          <w:szCs w:val="32"/>
          <w:highlight w:val="none"/>
          <w:lang w:eastAsia="zh-CN"/>
        </w:rPr>
        <w:t>（</w:t>
      </w:r>
      <w:r>
        <w:rPr>
          <w:rFonts w:hint="eastAsia" w:eastAsia="仿宋_GB2312" w:cstheme="minorBidi"/>
          <w:sz w:val="32"/>
          <w:szCs w:val="32"/>
          <w:highlight w:val="none"/>
        </w:rPr>
        <w:t>单位</w:t>
      </w:r>
      <w:r>
        <w:rPr>
          <w:rFonts w:hint="eastAsia" w:eastAsia="仿宋_GB2312" w:cstheme="minorBidi"/>
          <w:sz w:val="32"/>
          <w:szCs w:val="32"/>
          <w:highlight w:val="none"/>
          <w:lang w:eastAsia="zh-CN"/>
        </w:rPr>
        <w:t>）</w:t>
      </w:r>
      <w:r>
        <w:rPr>
          <w:rFonts w:hint="eastAsia" w:eastAsia="仿宋_GB2312" w:cstheme="minorBidi"/>
          <w:sz w:val="32"/>
          <w:szCs w:val="32"/>
          <w:highlight w:val="none"/>
        </w:rPr>
        <w:t>公务出国（境）的住宿费、旅费、伙食补助费、杂费、培训费等支出；公务用车购置及运行维护费反映部门</w:t>
      </w:r>
      <w:r>
        <w:rPr>
          <w:rFonts w:hint="eastAsia" w:eastAsia="仿宋_GB2312" w:cstheme="minorBidi"/>
          <w:sz w:val="32"/>
          <w:szCs w:val="32"/>
          <w:highlight w:val="none"/>
          <w:lang w:eastAsia="zh-CN"/>
        </w:rPr>
        <w:t>（</w:t>
      </w:r>
      <w:r>
        <w:rPr>
          <w:rFonts w:hint="eastAsia" w:eastAsia="仿宋_GB2312" w:cstheme="minorBidi"/>
          <w:sz w:val="32"/>
          <w:szCs w:val="32"/>
          <w:highlight w:val="none"/>
        </w:rPr>
        <w:t>单位</w:t>
      </w:r>
      <w:r>
        <w:rPr>
          <w:rFonts w:hint="eastAsia" w:eastAsia="仿宋_GB2312" w:cstheme="minorBidi"/>
          <w:sz w:val="32"/>
          <w:szCs w:val="32"/>
          <w:highlight w:val="none"/>
          <w:lang w:eastAsia="zh-CN"/>
        </w:rPr>
        <w:t>）</w:t>
      </w:r>
      <w:r>
        <w:rPr>
          <w:rFonts w:hint="eastAsia" w:eastAsia="仿宋_GB2312" w:cstheme="minorBidi"/>
          <w:sz w:val="32"/>
          <w:szCs w:val="32"/>
          <w:highlight w:val="none"/>
        </w:rPr>
        <w:t>公务用车购置费、燃料费、维修费、过路过桥费、保险费、安全奖励费用等支出；公务接待费反映部门</w:t>
      </w:r>
      <w:r>
        <w:rPr>
          <w:rFonts w:hint="eastAsia" w:eastAsia="仿宋_GB2312" w:cstheme="minorBidi"/>
          <w:sz w:val="32"/>
          <w:szCs w:val="32"/>
          <w:highlight w:val="none"/>
          <w:lang w:eastAsia="zh-CN"/>
        </w:rPr>
        <w:t>（</w:t>
      </w:r>
      <w:r>
        <w:rPr>
          <w:rFonts w:hint="eastAsia" w:eastAsia="仿宋_GB2312" w:cstheme="minorBidi"/>
          <w:sz w:val="32"/>
          <w:szCs w:val="32"/>
          <w:highlight w:val="none"/>
        </w:rPr>
        <w:t>单位</w:t>
      </w:r>
      <w:r>
        <w:rPr>
          <w:rFonts w:hint="eastAsia" w:eastAsia="仿宋_GB2312" w:cstheme="minorBidi"/>
          <w:sz w:val="32"/>
          <w:szCs w:val="32"/>
          <w:highlight w:val="none"/>
          <w:lang w:eastAsia="zh-CN"/>
        </w:rPr>
        <w:t>）</w:t>
      </w:r>
      <w:r>
        <w:rPr>
          <w:rFonts w:hint="eastAsia" w:eastAsia="仿宋_GB2312" w:cstheme="minorBidi"/>
          <w:sz w:val="32"/>
          <w:szCs w:val="32"/>
          <w:highlight w:val="none"/>
        </w:rPr>
        <w:t>按规定开支的各类公务接待（含外宾接待）支出。</w:t>
      </w:r>
    </w:p>
    <w:p w14:paraId="23CF9209">
      <w:pPr>
        <w:spacing w:line="600" w:lineRule="exact"/>
        <w:ind w:firstLine="643" w:firstLineChars="200"/>
      </w:pPr>
      <w:r>
        <w:rPr>
          <w:rFonts w:hint="eastAsia" w:eastAsia="仿宋_GB2312" w:cstheme="minorBidi"/>
          <w:b/>
          <w:bCs/>
          <w:sz w:val="32"/>
          <w:szCs w:val="32"/>
          <w:highlight w:val="none"/>
        </w:rPr>
        <w:t>九、</w:t>
      </w:r>
      <w:r>
        <w:rPr>
          <w:rFonts w:hint="eastAsia" w:eastAsia="仿宋_GB2312" w:cstheme="minorBidi"/>
          <w:b/>
          <w:bCs/>
          <w:sz w:val="32"/>
          <w:szCs w:val="32"/>
          <w:highlight w:val="none"/>
          <w:lang w:val="en-US" w:eastAsia="zh-CN"/>
        </w:rPr>
        <w:t>机构</w:t>
      </w:r>
      <w:r>
        <w:rPr>
          <w:rFonts w:hint="eastAsia" w:eastAsia="仿宋_GB2312" w:cstheme="minorBidi"/>
          <w:b/>
          <w:bCs/>
          <w:sz w:val="32"/>
          <w:szCs w:val="32"/>
          <w:highlight w:val="none"/>
        </w:rPr>
        <w:t>运行经费：</w:t>
      </w:r>
      <w:r>
        <w:rPr>
          <w:rFonts w:hint="eastAsia" w:eastAsia="仿宋_GB2312" w:cstheme="minorBidi"/>
          <w:sz w:val="32"/>
          <w:szCs w:val="32"/>
          <w:highlight w:val="none"/>
        </w:rPr>
        <w:t>指部门</w:t>
      </w:r>
      <w:r>
        <w:rPr>
          <w:rFonts w:hint="eastAsia" w:eastAsia="仿宋_GB2312" w:cstheme="minorBidi"/>
          <w:sz w:val="32"/>
          <w:szCs w:val="32"/>
          <w:highlight w:val="none"/>
          <w:lang w:eastAsia="zh-CN"/>
        </w:rPr>
        <w:t>（</w:t>
      </w:r>
      <w:r>
        <w:rPr>
          <w:rFonts w:hint="eastAsia" w:eastAsia="仿宋_GB2312" w:cstheme="minorBidi"/>
          <w:sz w:val="32"/>
          <w:szCs w:val="32"/>
          <w:highlight w:val="none"/>
        </w:rPr>
        <w:t>单位</w:t>
      </w:r>
      <w:r>
        <w:rPr>
          <w:rFonts w:hint="eastAsia" w:eastAsia="仿宋_GB2312" w:cstheme="minorBidi"/>
          <w:sz w:val="32"/>
          <w:szCs w:val="32"/>
          <w:highlight w:val="none"/>
          <w:lang w:eastAsia="zh-CN"/>
        </w:rPr>
        <w:t>）</w:t>
      </w:r>
      <w:r>
        <w:rPr>
          <w:rFonts w:hint="eastAsia" w:eastAsia="仿宋_GB2312" w:cstheme="minorBidi"/>
          <w:sz w:val="32"/>
          <w:szCs w:val="32"/>
          <w:highlight w:val="none"/>
        </w:rPr>
        <w:t>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14:paraId="2602BFC3">
      <w:pPr>
        <w:keepNext w:val="0"/>
        <w:keepLines w:val="0"/>
        <w:pageBreakBefore w:val="0"/>
        <w:widowControl/>
        <w:kinsoku/>
        <w:wordWrap/>
        <w:overflowPunct/>
        <w:topLinePunct w:val="0"/>
        <w:autoSpaceDE/>
        <w:autoSpaceDN/>
        <w:bidi w:val="0"/>
        <w:adjustRightInd/>
        <w:snapToGrid/>
        <w:spacing w:line="560" w:lineRule="exact"/>
        <w:ind w:left="0" w:leftChars="0" w:firstLine="723" w:firstLineChars="200"/>
        <w:jc w:val="center"/>
        <w:textAlignment w:val="auto"/>
        <w:rPr>
          <w:rFonts w:hint="eastAsia" w:ascii="仿宋_GB2312" w:hAnsi="仿宋" w:eastAsia="仿宋_GB2312" w:cs="仿宋"/>
          <w:b/>
          <w:bCs/>
          <w:color w:val="auto"/>
          <w:kern w:val="0"/>
          <w:sz w:val="36"/>
          <w:szCs w:val="32"/>
          <w:lang w:bidi="ar"/>
        </w:rPr>
      </w:pPr>
      <w:bookmarkStart w:id="3" w:name="_Toc21331"/>
      <w:r>
        <w:rPr>
          <w:rFonts w:hint="eastAsia" w:ascii="仿宋_GB2312" w:hAnsi="仿宋" w:eastAsia="仿宋_GB2312" w:cs="仿宋"/>
          <w:b/>
          <w:bCs/>
          <w:color w:val="auto"/>
          <w:kern w:val="0"/>
          <w:sz w:val="36"/>
          <w:szCs w:val="32"/>
          <w:lang w:bidi="ar"/>
        </w:rPr>
        <w:t>第</w:t>
      </w:r>
      <w:r>
        <w:rPr>
          <w:rFonts w:hint="eastAsia" w:ascii="仿宋_GB2312" w:hAnsi="仿宋" w:eastAsia="仿宋_GB2312" w:cs="仿宋"/>
          <w:b/>
          <w:bCs/>
          <w:color w:val="auto"/>
          <w:kern w:val="0"/>
          <w:sz w:val="36"/>
          <w:szCs w:val="32"/>
          <w:lang w:val="en-US" w:eastAsia="zh-CN" w:bidi="ar"/>
        </w:rPr>
        <w:t>五</w:t>
      </w:r>
      <w:r>
        <w:rPr>
          <w:rFonts w:hint="eastAsia" w:ascii="仿宋_GB2312" w:hAnsi="仿宋" w:eastAsia="仿宋_GB2312" w:cs="仿宋"/>
          <w:b/>
          <w:bCs/>
          <w:color w:val="auto"/>
          <w:kern w:val="0"/>
          <w:sz w:val="36"/>
          <w:szCs w:val="32"/>
          <w:lang w:bidi="ar"/>
        </w:rPr>
        <w:t>部分</w:t>
      </w:r>
      <w:r>
        <w:rPr>
          <w:rFonts w:hint="eastAsia" w:ascii="仿宋_GB2312" w:hAnsi="仿宋" w:eastAsia="仿宋_GB2312" w:cs="仿宋"/>
          <w:b/>
          <w:bCs/>
          <w:color w:val="auto"/>
          <w:kern w:val="0"/>
          <w:sz w:val="36"/>
          <w:szCs w:val="32"/>
          <w:lang w:val="en-US" w:eastAsia="zh-CN" w:bidi="ar"/>
        </w:rPr>
        <w:t xml:space="preserve"> </w:t>
      </w:r>
      <w:r>
        <w:rPr>
          <w:rFonts w:hint="eastAsia" w:ascii="仿宋_GB2312" w:hAnsi="仿宋" w:eastAsia="仿宋_GB2312" w:cs="仿宋"/>
          <w:b/>
          <w:bCs/>
          <w:color w:val="auto"/>
          <w:kern w:val="0"/>
          <w:sz w:val="36"/>
          <w:szCs w:val="32"/>
          <w:lang w:bidi="ar"/>
        </w:rPr>
        <w:t>预算公开联系方式及信息反馈渠道</w:t>
      </w:r>
      <w:bookmarkEnd w:id="3"/>
    </w:p>
    <w:p w14:paraId="4740C149">
      <w:pPr>
        <w:snapToGrid w:val="0"/>
        <w:spacing w:line="600" w:lineRule="exact"/>
        <w:rPr>
          <w:rFonts w:ascii="方正小标宋简体" w:hAnsi="方正小标宋简体" w:eastAsia="方正小标宋简体" w:cs="方正小标宋简体"/>
          <w:sz w:val="36"/>
          <w:szCs w:val="36"/>
          <w:highlight w:val="none"/>
        </w:rPr>
      </w:pPr>
    </w:p>
    <w:p w14:paraId="6BE9E9F3">
      <w:pPr>
        <w:snapToGrid w:val="0"/>
        <w:spacing w:line="60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本单位预算公开信息反馈和联系方式：</w:t>
      </w:r>
    </w:p>
    <w:p w14:paraId="7B4AE33E">
      <w:pPr>
        <w:widowControl/>
        <w:spacing w:line="600" w:lineRule="exact"/>
        <w:ind w:firstLine="640" w:firstLineChars="200"/>
        <w:jc w:val="left"/>
        <w:rPr>
          <w:rFonts w:ascii="仿宋_GB2312" w:hAnsi="仿宋_GB2312" w:eastAsia="仿宋_GB2312" w:cs="仿宋_GB2312"/>
          <w:sz w:val="32"/>
          <w:szCs w:val="32"/>
        </w:rPr>
      </w:pPr>
      <w:r>
        <w:rPr>
          <w:rFonts w:hint="eastAsia" w:ascii="仿宋_GB2312" w:hAnsi="仿宋" w:eastAsia="仿宋_GB2312" w:cs="仿宋"/>
          <w:kern w:val="0"/>
          <w:sz w:val="32"/>
          <w:szCs w:val="32"/>
          <w:lang w:bidi="ar"/>
        </w:rPr>
        <w:t>联系人：</w:t>
      </w:r>
      <w:r>
        <w:rPr>
          <w:rFonts w:hint="eastAsia" w:ascii="仿宋_GB2312" w:hAnsi="仿宋" w:eastAsia="仿宋_GB2312" w:cs="仿宋"/>
          <w:kern w:val="0"/>
          <w:sz w:val="32"/>
          <w:szCs w:val="32"/>
          <w:lang w:val="en-US" w:eastAsia="zh-CN" w:bidi="ar"/>
        </w:rPr>
        <w:t xml:space="preserve">赵秋会       </w:t>
      </w:r>
      <w:r>
        <w:rPr>
          <w:rFonts w:hint="eastAsia" w:ascii="仿宋_GB2312" w:hAnsi="仿宋" w:eastAsia="仿宋_GB2312" w:cs="仿宋"/>
          <w:kern w:val="0"/>
          <w:sz w:val="32"/>
          <w:szCs w:val="32"/>
          <w:lang w:bidi="ar"/>
        </w:rPr>
        <w:t>联系电话：</w:t>
      </w:r>
      <w:r>
        <w:rPr>
          <w:rFonts w:hint="eastAsia" w:ascii="仿宋_GB2312" w:hAnsi="仿宋_GB2312" w:eastAsia="仿宋_GB2312" w:cs="仿宋_GB2312"/>
          <w:sz w:val="32"/>
          <w:szCs w:val="32"/>
        </w:rPr>
        <w:t>04732886302</w:t>
      </w:r>
    </w:p>
    <w:p w14:paraId="00A70E04">
      <w:pPr>
        <w:pStyle w:val="2"/>
        <w:rPr>
          <w:rFonts w:hint="eastAsia" w:ascii="仿宋_GB2312" w:hAnsi="仿宋_GB2312" w:eastAsia="仿宋_GB2312" w:cs="仿宋_GB2312"/>
          <w:sz w:val="32"/>
          <w:szCs w:val="32"/>
          <w:highlight w:val="none"/>
        </w:rPr>
      </w:pPr>
    </w:p>
    <w:p w14:paraId="5A4CE1EA">
      <w:pPr>
        <w:widowControl/>
        <w:spacing w:line="600" w:lineRule="exact"/>
        <w:jc w:val="left"/>
        <w:rPr>
          <w:rFonts w:hint="eastAsia" w:ascii="仿宋_GB2312" w:hAnsi="仿宋" w:eastAsia="仿宋_GB2312" w:cs="仿宋"/>
          <w:b/>
          <w:bCs/>
          <w:color w:val="auto"/>
          <w:kern w:val="0"/>
          <w:sz w:val="32"/>
          <w:szCs w:val="32"/>
          <w:lang w:bidi="ar"/>
        </w:rPr>
      </w:pPr>
    </w:p>
    <w:p w14:paraId="5FAF73AA">
      <w:pPr>
        <w:keepNext w:val="0"/>
        <w:keepLines w:val="0"/>
        <w:pageBreakBefore w:val="0"/>
        <w:widowControl/>
        <w:kinsoku/>
        <w:wordWrap/>
        <w:overflowPunct/>
        <w:topLinePunct w:val="0"/>
        <w:autoSpaceDE/>
        <w:autoSpaceDN/>
        <w:bidi w:val="0"/>
        <w:adjustRightInd/>
        <w:snapToGrid/>
        <w:spacing w:line="560" w:lineRule="exact"/>
        <w:ind w:left="0" w:leftChars="0" w:firstLine="723" w:firstLineChars="200"/>
        <w:jc w:val="center"/>
        <w:textAlignment w:val="auto"/>
        <w:rPr>
          <w:rFonts w:hint="eastAsia" w:ascii="仿宋_GB2312" w:hAnsi="仿宋" w:eastAsia="仿宋_GB2312" w:cs="仿宋"/>
          <w:b/>
          <w:bCs/>
          <w:color w:val="auto"/>
          <w:kern w:val="0"/>
          <w:sz w:val="36"/>
          <w:szCs w:val="32"/>
          <w:lang w:bidi="ar"/>
        </w:rPr>
      </w:pPr>
      <w:r>
        <w:rPr>
          <w:rFonts w:hint="eastAsia" w:ascii="仿宋_GB2312" w:hAnsi="仿宋" w:eastAsia="仿宋_GB2312" w:cs="仿宋"/>
          <w:b/>
          <w:bCs/>
          <w:color w:val="auto"/>
          <w:kern w:val="0"/>
          <w:sz w:val="36"/>
          <w:szCs w:val="32"/>
          <w:lang w:bidi="ar"/>
        </w:rPr>
        <w:t>第</w:t>
      </w:r>
      <w:r>
        <w:rPr>
          <w:rFonts w:hint="eastAsia" w:ascii="仿宋_GB2312" w:hAnsi="仿宋" w:eastAsia="仿宋_GB2312" w:cs="仿宋"/>
          <w:b/>
          <w:bCs/>
          <w:color w:val="auto"/>
          <w:kern w:val="0"/>
          <w:sz w:val="36"/>
          <w:szCs w:val="32"/>
          <w:lang w:val="en-US" w:eastAsia="zh-CN" w:bidi="ar"/>
        </w:rPr>
        <w:t>六</w:t>
      </w:r>
      <w:r>
        <w:rPr>
          <w:rFonts w:hint="eastAsia" w:ascii="仿宋_GB2312" w:hAnsi="仿宋" w:eastAsia="仿宋_GB2312" w:cs="仿宋"/>
          <w:b/>
          <w:bCs/>
          <w:color w:val="auto"/>
          <w:kern w:val="0"/>
          <w:sz w:val="36"/>
          <w:szCs w:val="32"/>
          <w:lang w:bidi="ar"/>
        </w:rPr>
        <w:t>部分</w:t>
      </w:r>
      <w:r>
        <w:rPr>
          <w:rFonts w:hint="eastAsia" w:ascii="仿宋_GB2312" w:hAnsi="仿宋" w:eastAsia="仿宋_GB2312" w:cs="仿宋"/>
          <w:b/>
          <w:bCs/>
          <w:color w:val="auto"/>
          <w:kern w:val="0"/>
          <w:sz w:val="36"/>
          <w:szCs w:val="32"/>
          <w:lang w:val="en-US" w:eastAsia="zh-CN" w:bidi="ar"/>
        </w:rPr>
        <w:t xml:space="preserve"> 单位</w:t>
      </w:r>
      <w:r>
        <w:rPr>
          <w:rFonts w:hint="eastAsia" w:ascii="仿宋_GB2312" w:hAnsi="仿宋" w:eastAsia="仿宋_GB2312" w:cs="仿宋"/>
          <w:b/>
          <w:bCs/>
          <w:color w:val="auto"/>
          <w:kern w:val="0"/>
          <w:sz w:val="36"/>
          <w:szCs w:val="32"/>
          <w:lang w:bidi="ar"/>
        </w:rPr>
        <w:t>预算公开表</w:t>
      </w:r>
    </w:p>
    <w:p w14:paraId="24150320">
      <w:pPr>
        <w:widowControl/>
        <w:spacing w:line="600" w:lineRule="exact"/>
        <w:ind w:firstLine="640" w:firstLineChars="200"/>
        <w:jc w:val="left"/>
        <w:rPr>
          <w:rFonts w:hint="eastAsia" w:ascii="仿宋_GB2312" w:eastAsia="仿宋_GB2312"/>
          <w:color w:val="auto"/>
          <w:sz w:val="32"/>
          <w:szCs w:val="32"/>
        </w:rPr>
      </w:pPr>
      <w:r>
        <w:rPr>
          <w:rFonts w:hint="eastAsia" w:ascii="仿宋_GB2312" w:hAnsi="仿宋" w:eastAsia="仿宋_GB2312" w:cs="仿宋"/>
          <w:color w:val="auto"/>
          <w:kern w:val="0"/>
          <w:sz w:val="32"/>
          <w:szCs w:val="32"/>
          <w:lang w:bidi="ar"/>
        </w:rPr>
        <w:t>附表：</w:t>
      </w:r>
    </w:p>
    <w:p w14:paraId="070A5212">
      <w:pPr>
        <w:widowControl/>
        <w:spacing w:line="600" w:lineRule="exact"/>
        <w:ind w:firstLine="640" w:firstLineChars="200"/>
        <w:jc w:val="left"/>
        <w:rPr>
          <w:rFonts w:hint="eastAsia" w:ascii="仿宋_GB2312" w:eastAsia="仿宋_GB2312"/>
          <w:color w:val="auto"/>
          <w:sz w:val="32"/>
          <w:szCs w:val="32"/>
        </w:rPr>
      </w:pPr>
      <w:r>
        <w:rPr>
          <w:rFonts w:hint="eastAsia" w:ascii="仿宋_GB2312" w:hAnsi="仿宋" w:eastAsia="仿宋_GB2312" w:cs="仿宋"/>
          <w:color w:val="auto"/>
          <w:kern w:val="0"/>
          <w:sz w:val="32"/>
          <w:szCs w:val="32"/>
          <w:lang w:val="en-US" w:eastAsia="zh-CN" w:bidi="ar"/>
        </w:rPr>
        <w:t>单位</w:t>
      </w:r>
      <w:r>
        <w:rPr>
          <w:rFonts w:hint="eastAsia" w:ascii="仿宋_GB2312" w:hAnsi="仿宋" w:eastAsia="仿宋_GB2312" w:cs="仿宋"/>
          <w:color w:val="auto"/>
          <w:kern w:val="0"/>
          <w:sz w:val="32"/>
          <w:szCs w:val="32"/>
          <w:lang w:bidi="ar"/>
        </w:rPr>
        <w:t>预算公开表</w:t>
      </w:r>
    </w:p>
    <w:p w14:paraId="6B4CAA2D">
      <w:pPr>
        <w:widowControl/>
        <w:spacing w:line="600" w:lineRule="exact"/>
        <w:ind w:firstLine="640" w:firstLineChars="200"/>
        <w:jc w:val="left"/>
        <w:rPr>
          <w:rFonts w:hint="eastAsia" w:ascii="仿宋_GB2312" w:hAnsi="仿宋" w:eastAsia="仿宋_GB2312" w:cs="仿宋"/>
          <w:color w:val="auto"/>
          <w:kern w:val="0"/>
          <w:sz w:val="32"/>
          <w:szCs w:val="32"/>
          <w:lang w:bidi="ar"/>
        </w:rPr>
      </w:pPr>
    </w:p>
    <w:sectPr>
      <w:footerReference r:id="rId5" w:type="default"/>
      <w:pgSz w:w="11905" w:h="16838"/>
      <w:pgMar w:top="1701" w:right="1531" w:bottom="1701" w:left="1531" w:header="850"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2CA6661-C62B-4398-82CF-84C738572B7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A3EB95CA-3A23-4457-BD70-2A89BDF58506}"/>
  </w:font>
  <w:font w:name="仿宋_GB2312">
    <w:altName w:val="仿宋"/>
    <w:panose1 w:val="02010609030101010101"/>
    <w:charset w:val="86"/>
    <w:family w:val="modern"/>
    <w:pitch w:val="default"/>
    <w:sig w:usb0="00000000" w:usb1="00000000" w:usb2="00000000" w:usb3="00000000" w:csb0="00040000" w:csb1="00000000"/>
    <w:embedRegular r:id="rId3" w:fontKey="{1BD14584-065F-4F90-9E43-E51FE5C0506D}"/>
  </w:font>
  <w:font w:name="方正小标宋简体">
    <w:panose1 w:val="02000000000000000000"/>
    <w:charset w:val="86"/>
    <w:family w:val="auto"/>
    <w:pitch w:val="default"/>
    <w:sig w:usb0="00000001" w:usb1="08000000" w:usb2="00000000" w:usb3="00000000" w:csb0="00040000" w:csb1="00000000"/>
    <w:embedRegular r:id="rId4" w:fontKey="{0E2D242D-B6A3-488F-B306-9B322FBA83F5}"/>
  </w:font>
  <w:font w:name="楷体_GB2312">
    <w:panose1 w:val="02010609030101010101"/>
    <w:charset w:val="86"/>
    <w:family w:val="modern"/>
    <w:pitch w:val="default"/>
    <w:sig w:usb0="00000001" w:usb1="080E0000" w:usb2="00000000" w:usb3="00000000" w:csb0="00040000" w:csb1="00000000"/>
    <w:embedRegular r:id="rId5" w:fontKey="{5731A67B-240C-4618-AE77-DA4269E30CDD}"/>
  </w:font>
  <w:font w:name="楷体">
    <w:panose1 w:val="02010609060101010101"/>
    <w:charset w:val="86"/>
    <w:family w:val="modern"/>
    <w:pitch w:val="default"/>
    <w:sig w:usb0="800002BF" w:usb1="38CF7CFA" w:usb2="00000016" w:usb3="00000000" w:csb0="00040001" w:csb1="00000000"/>
    <w:embedRegular r:id="rId6" w:fontKey="{B60003AD-319D-47EC-B3FF-2B0B3422C676}"/>
  </w:font>
  <w:font w:name="微软雅黑">
    <w:panose1 w:val="020B0503020204020204"/>
    <w:charset w:val="86"/>
    <w:family w:val="swiss"/>
    <w:pitch w:val="variable"/>
    <w:sig w:usb0="80000287" w:usb1="2ACF3C50" w:usb2="00000016" w:usb3="00000000" w:csb0="0004001F"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EB2193">
    <w:pPr>
      <w:pStyle w:val="7"/>
      <w:jc w:val="center"/>
    </w:pPr>
  </w:p>
  <w:p w14:paraId="5A30D155">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AAAE04">
    <w:pPr>
      <w:pStyle w:val="7"/>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795655" cy="351790"/>
              <wp:effectExtent l="0" t="0" r="0" b="0"/>
              <wp:wrapNone/>
              <wp:docPr id="3" name="文本框 3"/>
              <wp:cNvGraphicFramePr/>
              <a:graphic xmlns:a="http://schemas.openxmlformats.org/drawingml/2006/main">
                <a:graphicData uri="http://schemas.microsoft.com/office/word/2010/wordprocessingShape">
                  <wps:wsp>
                    <wps:cNvSpPr txBox="1"/>
                    <wps:spPr>
                      <a:xfrm>
                        <a:off x="0" y="0"/>
                        <a:ext cx="795655" cy="3517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87A887">
                          <w:pPr>
                            <w:pStyle w:val="7"/>
                            <w:rPr>
                              <w:sz w:val="24"/>
                              <w:szCs w:val="24"/>
                            </w:rPr>
                          </w:pPr>
                          <w:r>
                            <w:rPr>
                              <w:sz w:val="24"/>
                              <w:szCs w:val="24"/>
                            </w:rPr>
                            <w:t>—</w:t>
                          </w:r>
                          <w:r>
                            <w:rPr>
                              <w:sz w:val="24"/>
                              <w:szCs w:val="24"/>
                            </w:rPr>
                            <w:fldChar w:fldCharType="begin"/>
                          </w:r>
                          <w:r>
                            <w:rPr>
                              <w:sz w:val="24"/>
                              <w:szCs w:val="24"/>
                            </w:rPr>
                            <w:instrText xml:space="preserve"> PAGE  \* MERGEFORMAT </w:instrText>
                          </w:r>
                          <w:r>
                            <w:rPr>
                              <w:sz w:val="24"/>
                              <w:szCs w:val="24"/>
                            </w:rPr>
                            <w:fldChar w:fldCharType="separate"/>
                          </w:r>
                          <w:r>
                            <w:rPr>
                              <w:sz w:val="24"/>
                              <w:szCs w:val="24"/>
                            </w:rPr>
                            <w:t>- 1 -</w:t>
                          </w:r>
                          <w:r>
                            <w:rPr>
                              <w:sz w:val="24"/>
                              <w:szCs w:val="24"/>
                            </w:rPr>
                            <w:fldChar w:fldCharType="end"/>
                          </w:r>
                          <w:r>
                            <w:rPr>
                              <w:sz w:val="24"/>
                              <w:szCs w:val="24"/>
                            </w:rPr>
                            <w:t>—</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0pt;height:27.7pt;width:62.65pt;mso-position-horizontal:center;mso-position-horizontal-relative:margin;z-index:251659264;mso-width-relative:page;mso-height-relative:page;" filled="f" stroked="f" coordsize="21600,21600" o:gfxdata="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HDpdn1AAAAAQBAAAPAAAAAAAAAAEAIAAAACIAAABkcnMvZG93bnJldi54bWxQSwEC&#10;FAAUAAAACACHTuJA2gtGXDECAABVBAAADgAAAAAAAAABACAAAAAjAQAAZHJzL2Uyb0RvYy54bWxQ&#10;SwUGAAAAAAYABgBZAQAAxgUAAAAA&#10;">
              <v:fill on="f" focussize="0,0"/>
              <v:stroke on="f" weight="0.5pt"/>
              <v:imagedata o:title=""/>
              <o:lock v:ext="edit" aspectratio="f"/>
              <v:textbox inset="0mm,0mm,0mm,0mm">
                <w:txbxContent>
                  <w:p w14:paraId="1787A887">
                    <w:pPr>
                      <w:pStyle w:val="7"/>
                      <w:rPr>
                        <w:sz w:val="24"/>
                        <w:szCs w:val="24"/>
                      </w:rPr>
                    </w:pPr>
                    <w:r>
                      <w:rPr>
                        <w:sz w:val="24"/>
                        <w:szCs w:val="24"/>
                      </w:rPr>
                      <w:t>—</w:t>
                    </w:r>
                    <w:r>
                      <w:rPr>
                        <w:sz w:val="24"/>
                        <w:szCs w:val="24"/>
                      </w:rPr>
                      <w:fldChar w:fldCharType="begin"/>
                    </w:r>
                    <w:r>
                      <w:rPr>
                        <w:sz w:val="24"/>
                        <w:szCs w:val="24"/>
                      </w:rPr>
                      <w:instrText xml:space="preserve"> PAGE  \* MERGEFORMAT </w:instrText>
                    </w:r>
                    <w:r>
                      <w:rPr>
                        <w:sz w:val="24"/>
                        <w:szCs w:val="24"/>
                      </w:rPr>
                      <w:fldChar w:fldCharType="separate"/>
                    </w:r>
                    <w:r>
                      <w:rPr>
                        <w:sz w:val="24"/>
                        <w:szCs w:val="24"/>
                      </w:rPr>
                      <w:t>- 1 -</w:t>
                    </w:r>
                    <w:r>
                      <w:rPr>
                        <w:sz w:val="24"/>
                        <w:szCs w:val="24"/>
                      </w:rPr>
                      <w:fldChar w:fldCharType="end"/>
                    </w:r>
                    <w:r>
                      <w:rPr>
                        <w:sz w:val="24"/>
                        <w:szCs w:val="24"/>
                      </w:rPr>
                      <w:t>—</w:t>
                    </w:r>
                  </w:p>
                </w:txbxContent>
              </v:textbox>
            </v:shape>
          </w:pict>
        </mc:Fallback>
      </mc:AlternateContent>
    </w:r>
  </w:p>
  <w:p w14:paraId="5ED4BB3B">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EE848D">
    <w:pPr>
      <w:ind w:left="6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F87D63"/>
    <w:multiLevelType w:val="singleLevel"/>
    <w:tmpl w:val="B9F87D63"/>
    <w:lvl w:ilvl="0" w:tentative="0">
      <w:start w:val="2"/>
      <w:numFmt w:val="decimal"/>
      <w:suff w:val="nothing"/>
      <w:lvlText w:val="%1．"/>
      <w:lvlJc w:val="left"/>
    </w:lvl>
  </w:abstractNum>
  <w:abstractNum w:abstractNumId="1">
    <w:nsid w:val="3265B7C3"/>
    <w:multiLevelType w:val="singleLevel"/>
    <w:tmpl w:val="3265B7C3"/>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0"/>
  <w:bordersDoNotSurroundFooter w:val="0"/>
  <w:documentProtection w:enforcement="0"/>
  <w:defaultTabStop w:val="420"/>
  <w:drawingGridHorizontalSpacing w:val="21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B24F4D"/>
    <w:rsid w:val="08610ACC"/>
    <w:rsid w:val="09157C4D"/>
    <w:rsid w:val="09296316"/>
    <w:rsid w:val="11BE5EDC"/>
    <w:rsid w:val="1C5A6ACA"/>
    <w:rsid w:val="21110DC5"/>
    <w:rsid w:val="3AF9705C"/>
    <w:rsid w:val="40D75730"/>
    <w:rsid w:val="41D91CD0"/>
    <w:rsid w:val="42446AE4"/>
    <w:rsid w:val="622A170C"/>
    <w:rsid w:val="7EB24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Courier New" w:cs="Times New Roman"/>
      <w:kern w:val="2"/>
      <w:sz w:val="21"/>
      <w:szCs w:val="21"/>
      <w:lang w:val="en-US" w:eastAsia="zh-CN" w:bidi="ar-SA"/>
    </w:rPr>
  </w:style>
  <w:style w:type="paragraph" w:styleId="4">
    <w:name w:val="heading 1"/>
    <w:basedOn w:val="1"/>
    <w:next w:val="1"/>
    <w:qFormat/>
    <w:uiPriority w:val="1"/>
    <w:pPr>
      <w:keepNext/>
      <w:keepLines/>
      <w:spacing w:before="340" w:after="330" w:line="576" w:lineRule="auto"/>
      <w:outlineLvl w:val="0"/>
    </w:pPr>
    <w:rPr>
      <w:b/>
      <w:kern w:val="44"/>
      <w:sz w:val="44"/>
    </w:rPr>
  </w:style>
  <w:style w:type="paragraph" w:styleId="5">
    <w:name w:val="heading 2"/>
    <w:basedOn w:val="1"/>
    <w:next w:val="1"/>
    <w:qFormat/>
    <w:uiPriority w:val="1"/>
    <w:pPr>
      <w:keepNext/>
      <w:keepLines/>
      <w:adjustRightInd w:val="0"/>
      <w:snapToGrid w:val="0"/>
      <w:spacing w:before="260" w:after="260" w:line="416" w:lineRule="auto"/>
      <w:ind w:firstLine="600" w:firstLineChars="200"/>
      <w:outlineLvl w:val="1"/>
    </w:pPr>
    <w:rPr>
      <w:rFonts w:ascii="Arial" w:hAnsi="Arial" w:eastAsia="Symbol"/>
      <w:b/>
      <w:bCs/>
      <w:sz w:val="32"/>
      <w:szCs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pPr>
  </w:style>
  <w:style w:type="paragraph" w:styleId="3">
    <w:name w:val="Body Text Indent"/>
    <w:basedOn w:val="1"/>
    <w:qFormat/>
    <w:uiPriority w:val="0"/>
    <w:pPr>
      <w:spacing w:after="120"/>
      <w:ind w:left="420" w:leftChars="200"/>
      <w:jc w:val="left"/>
    </w:pPr>
    <w:rPr>
      <w:rFonts w:hint="eastAsia" w:ascii="宋体" w:hAnsi="宋体" w:eastAsia="宋体"/>
      <w:kern w:val="0"/>
      <w:sz w:val="24"/>
      <w:szCs w:val="24"/>
    </w:rPr>
  </w:style>
  <w:style w:type="paragraph" w:styleId="6">
    <w:name w:val="Body Text"/>
    <w:basedOn w:val="1"/>
    <w:unhideWhenUsed/>
    <w:qFormat/>
    <w:uiPriority w:val="1"/>
    <w:pPr>
      <w:spacing w:after="120"/>
    </w:pPr>
  </w:style>
  <w:style w:type="paragraph" w:styleId="7">
    <w:name w:val="footer"/>
    <w:basedOn w:val="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Table Paragraph"/>
    <w:basedOn w:val="1"/>
    <w:autoRedefine/>
    <w:qFormat/>
    <w:uiPriority w:val="1"/>
    <w:pPr>
      <w:widowControl/>
      <w:spacing w:before="120" w:after="240"/>
    </w:pPr>
    <w:rPr>
      <w:rFonts w:ascii="仿宋" w:hAnsi="仿宋" w:eastAsia="仿宋" w:cs="仿宋"/>
      <w:kern w:val="0"/>
      <w:sz w:val="22"/>
      <w:szCs w:val="22"/>
      <w:lang w:val="zh-CN" w:bidi="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4" Type="http://schemas.microsoft.com/office/2011/relationships/chartColorStyle" Target="colors1.xml"/><Relationship Id="rId3" Type="http://schemas.microsoft.com/office/2011/relationships/chartStyle" Target="style1.xml"/><Relationship Id="rId2" Type="http://schemas.openxmlformats.org/officeDocument/2006/relationships/themeOverride" Target="../theme/themeOverrid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4" Type="http://schemas.microsoft.com/office/2011/relationships/chartColorStyle" Target="colors2.xml"/><Relationship Id="rId3" Type="http://schemas.microsoft.com/office/2011/relationships/chartStyle" Target="style2.xml"/><Relationship Id="rId2" Type="http://schemas.openxmlformats.org/officeDocument/2006/relationships/themeOverride" Target="../theme/themeOverride2.xml"/><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forceAA="0"/>
          <a:lstStyle/>
          <a:p>
            <a:pPr defTabSz="914400">
              <a:defRPr lang="zh-CN" sz="1400" b="0" i="0" u="none" strike="noStrike" kern="1200" baseline="0">
                <a:solidFill>
                  <a:schemeClr val="tx1">
                    <a:lumMod val="75000"/>
                    <a:lumOff val="25000"/>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r>
              <a:t>收入预算情况</a:t>
            </a:r>
          </a:p>
        </c:rich>
      </c:tx>
      <c:layout>
        <c:manualLayout>
          <c:xMode val="edge"/>
          <c:yMode val="edge"/>
          <c:x val="0.442498187968108"/>
          <c:y val="0.0235869103272418"/>
        </c:manualLayout>
      </c:layout>
      <c:overlay val="0"/>
      <c:spPr>
        <a:noFill/>
        <a:ln>
          <a:noFill/>
        </a:ln>
        <a:effectLst/>
      </c:spPr>
    </c:title>
    <c:autoTitleDeleted val="0"/>
    <c:plotArea>
      <c:layout/>
      <c:pieChart>
        <c:varyColors val="1"/>
        <c:ser>
          <c:idx val="0"/>
          <c:order val="0"/>
          <c:tx>
            <c:strRef>
              <c:f>Sheet1!$B$1</c:f>
              <c:strCache>
                <c:ptCount val="1"/>
                <c:pt idx="0">
                  <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Lbl>
              <c:idx val="0"/>
              <c:layout>
                <c:manualLayout>
                  <c:x val="0.284730611258758"/>
                  <c:y val="0"/>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forceAA="0"/>
              <a:lstStyle/>
              <a:p>
                <a:pPr>
                  <a:defRPr lang="zh-CN" sz="1000" b="0" i="0" u="none" strike="noStrike" kern="1200" baseline="0">
                    <a:solidFill>
                      <a:schemeClr val="tx1">
                        <a:lumMod val="75000"/>
                        <a:lumOff val="25000"/>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p>
            </c:txPr>
            <c:dLblPos val="outEnd"/>
            <c:showLegendKey val="0"/>
            <c:showVal val="0"/>
            <c:showCatName val="1"/>
            <c:showSerName val="0"/>
            <c:showPercent val="1"/>
            <c:showBubbleSize val="0"/>
            <c:separator>
</c:separator>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xmlns:c15="http://schemas.microsoft.com/office/drawing/2012/chart" uri="{02D57815-91ED-43cb-92C2-25804820EDAC}">
                  <c15:fullRef>
                    <c15:sqref>Sheet1!$A$2:$A$4</c15:sqref>
                  </c15:fullRef>
                </c:ext>
              </c:extLst>
              <c:f>Sheet1!$A$2:$A$3</c:f>
              <c:strCache>
                <c:ptCount val="2"/>
                <c:pt idx="0">
                  <c:v>本年一般公共预算收入</c:v>
                </c:pt>
                <c:pt idx="1">
                  <c:v>上年结转结余的一般公共预算收入</c:v>
                </c:pt>
              </c:strCache>
            </c:strRef>
          </c:cat>
          <c:val>
            <c:numRef>
              <c:extLst>
                <c:ext xmlns:c15="http://schemas.microsoft.com/office/drawing/2012/chart" uri="{02D57815-91ED-43cb-92C2-25804820EDAC}">
                  <c15:fullRef>
                    <c15:sqref>Sheet1!$B$2:$B$4</c15:sqref>
                  </c15:fullRef>
                </c:ext>
              </c:extLst>
              <c:f>Sheet1!$B$2:$B$3</c:f>
              <c:numCache>
                <c:formatCode>#,##0.00</c:formatCode>
                <c:ptCount val="2"/>
                <c:pt idx="0">
                  <c:v>3994.46</c:v>
                </c:pt>
                <c:pt idx="1" c:formatCode="General">
                  <c:v>2629.53</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forceAA="0"/>
        <a:lstStyle/>
        <a:p>
          <a:pPr>
            <a:defRPr lang="zh-CN" sz="900" b="0" i="0" u="none" strike="noStrike" kern="1200" baseline="0">
              <a:solidFill>
                <a:schemeClr val="tx1">
                  <a:lumMod val="65000"/>
                  <a:lumOff val="35000"/>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p>
      </c:txPr>
    </c:legend>
    <c:plotVisOnly val="1"/>
    <c:dispBlanksAs val="gap"/>
    <c:showDLblsOverMax val="0"/>
    <c:extLst>
      <c:ext uri="{0b15fc19-7d7d-44ad-8c2d-2c3a37ce22c3}">
        <chartProps xmlns="https://web.wps.cn/et/2018/main" chartId="{d5112f37-6592-495b-9d9b-2696950415e3}"/>
      </c:ext>
    </c:extLst>
  </c:chart>
  <c:spPr>
    <a:solidFill>
      <a:schemeClr val="bg1"/>
    </a:solidFill>
    <a:ln w="6350" cap="flat" cmpd="sng" algn="ctr">
      <a:solidFill>
        <a:schemeClr val="tx1">
          <a:lumMod val="50000"/>
          <a:lumOff val="50000"/>
          <a:alpha val="25000"/>
        </a:schemeClr>
      </a:solidFill>
      <a:round/>
    </a:ln>
    <a:effectLst/>
  </c:spPr>
  <c:txPr>
    <a:bodyPr/>
    <a:lstStyle/>
    <a:p>
      <a:pPr>
        <a:defRPr lang="zh-CN">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forceAA="0"/>
          <a:lstStyle/>
          <a:p>
            <a:pPr defTabSz="914400">
              <a:defRPr lang="zh-CN" sz="1400" b="0" i="0" u="none" strike="noStrike" kern="1200" baseline="0">
                <a:solidFill>
                  <a:schemeClr val="tx1">
                    <a:lumMod val="75000"/>
                    <a:lumOff val="25000"/>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r>
              <a:t>支出预算情况</a:t>
            </a:r>
          </a:p>
        </c:rich>
      </c:tx>
      <c:layout/>
      <c:overlay val="0"/>
      <c:spPr>
        <a:noFill/>
        <a:ln>
          <a:noFill/>
        </a:ln>
        <a:effectLst/>
      </c:spPr>
    </c:title>
    <c:autoTitleDeleted val="0"/>
    <c:plotArea>
      <c:layout/>
      <c:pieChart>
        <c:varyColors val="1"/>
        <c:ser>
          <c:idx val="0"/>
          <c:order val="0"/>
          <c:tx>
            <c:strRef>
              <c:f>Sheet1!$B$1</c:f>
              <c:strCache>
                <c:ptCount val="1"/>
                <c:pt idx="0">
                  <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Lbl>
              <c:idx val="0"/>
              <c:layout>
                <c:manualLayout>
                  <c:x val="0.143875332205847"/>
                  <c:y val="-0.00552486187845304"/>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1"/>
              <c:layout>
                <c:manualLayout>
                  <c:x val="-0.0983329306595796"/>
                  <c:y val="0.0161495962600935"/>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forceAA="0"/>
              <a:lstStyle/>
              <a:p>
                <a:pPr>
                  <a:defRPr lang="zh-CN" sz="1000" b="0" i="0" u="none" strike="noStrike" kern="1200" baseline="0">
                    <a:solidFill>
                      <a:schemeClr val="tx1">
                        <a:lumMod val="75000"/>
                        <a:lumOff val="25000"/>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p>
            </c:txPr>
            <c:dLblPos val="outEnd"/>
            <c:showLegendKey val="0"/>
            <c:showVal val="0"/>
            <c:showCatName val="1"/>
            <c:showSerName val="0"/>
            <c:showPercent val="1"/>
            <c:showBubbleSize val="0"/>
            <c:separator>
</c:separator>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xmlns:c15="http://schemas.microsoft.com/office/drawing/2012/chart" uri="{02D57815-91ED-43cb-92C2-25804820EDAC}">
                  <c15:fullRef>
                    <c15:sqref>Sheet1!$A$2:$A$5</c15:sqref>
                  </c15:fullRef>
                </c:ext>
              </c:extLst>
              <c:f>Sheet1!$A$2:$A$3</c:f>
              <c:strCache>
                <c:ptCount val="2"/>
                <c:pt idx="0">
                  <c:v>基本支出</c:v>
                </c:pt>
                <c:pt idx="1" c:formatCode="#,##0.00">
                  <c:v>项目支出</c:v>
                </c:pt>
              </c:strCache>
            </c:strRef>
          </c:cat>
          <c:val>
            <c:numRef>
              <c:extLst>
                <c:ext xmlns:c15="http://schemas.microsoft.com/office/drawing/2012/chart" uri="{02D57815-91ED-43cb-92C2-25804820EDAC}">
                  <c15:fullRef>
                    <c15:sqref>Sheet1!$B$2:$B$5</c15:sqref>
                  </c15:fullRef>
                </c:ext>
              </c:extLst>
              <c:f>Sheet1!$B$2:$B$3</c:f>
              <c:numCache>
                <c:formatCode>#,##0.00</c:formatCode>
                <c:ptCount val="2"/>
                <c:pt idx="0">
                  <c:v>3851.46</c:v>
                </c:pt>
                <c:pt idx="1">
                  <c:v>2772.53</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forceAA="0"/>
        <a:lstStyle/>
        <a:p>
          <a:pPr>
            <a:defRPr lang="zh-CN" sz="900" b="0" i="0" u="none" strike="noStrike" kern="1200" baseline="0">
              <a:solidFill>
                <a:schemeClr val="tx1">
                  <a:lumMod val="65000"/>
                  <a:lumOff val="35000"/>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p>
      </c:txPr>
    </c:legend>
    <c:plotVisOnly val="1"/>
    <c:dispBlanksAs val="gap"/>
    <c:showDLblsOverMax val="0"/>
    <c:extLst>
      <c:ext uri="{0b15fc19-7d7d-44ad-8c2d-2c3a37ce22c3}">
        <chartProps xmlns="https://web.wps.cn/et/2018/main" chartId="{0967eed3-2b2e-440b-9cb9-c0c4135c8977}"/>
      </c:ext>
    </c:extLst>
  </c:chart>
  <c:spPr>
    <a:solidFill>
      <a:schemeClr val="bg1"/>
    </a:solidFill>
    <a:ln w="6350" cap="flat" cmpd="sng" algn="ctr">
      <a:solidFill>
        <a:schemeClr val="tx1">
          <a:lumMod val="50000"/>
          <a:lumOff val="50000"/>
          <a:alpha val="25000"/>
        </a:schemeClr>
      </a:solidFill>
      <a:round/>
    </a:ln>
    <a:effectLst/>
  </c:spPr>
  <c:txPr>
    <a:bodyPr/>
    <a:lstStyle/>
    <a:p>
      <a:pPr>
        <a:defRPr lang="zh-CN">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word/theme/themeOverride1.xml><?xml version="1.0" encoding="utf-8"?>
<a:themeOverride xmlns:a="http://schemas.openxmlformats.org/drawingml/2006/main">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7563</Words>
  <Characters>8358</Characters>
  <Lines>0</Lines>
  <Paragraphs>0</Paragraphs>
  <TotalTime>0</TotalTime>
  <ScaleCrop>false</ScaleCrop>
  <LinksUpToDate>false</LinksUpToDate>
  <CharactersWithSpaces>8370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2026-01-27T08:09:00Z</dcterms:created>
  <dc:creator>猫托萝啦</dc:creator>
  <cp:lastModifiedBy>辰殇</cp:lastModifiedBy>
  <dcterms:modified xsi:type="dcterms:W3CDTF">2026-03-03T04:37:27Z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F1657460806C46D195630BFC64962381_13</vt:lpwstr>
  </property>
  <property fmtid="{D5CDD505-2E9C-101B-9397-08002B2CF9AE}" pid="4" name="KSOTemplateDocerSaveRecord">
    <vt:lpwstr>eyJoZGlkIjoiNGVjMTVmYTdjM2IyZTNhYzM3NzgwMDZmODZkNzRiZTMiLCJ1c2VySWQiOiI3MTI2MzUzMzEifQ==</vt:lpwstr>
  </property>
</Properties>
</file>