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DF35E1">
      <w:pPr>
        <w:spacing w:line="600" w:lineRule="exact"/>
        <w:jc w:val="left"/>
        <w:rPr>
          <w:rFonts w:ascii="Arial" w:hAnsi="Arial" w:eastAsia="Symbol"/>
          <w:b/>
          <w:bCs/>
          <w:sz w:val="32"/>
          <w:szCs w:val="32"/>
          <w:highlight w:val="none"/>
        </w:rPr>
      </w:pPr>
    </w:p>
    <w:p w14:paraId="7A1FAA89">
      <w:pPr>
        <w:pStyle w:val="2"/>
        <w:rPr>
          <w:rFonts w:hint="default"/>
          <w:highlight w:val="none"/>
        </w:rPr>
      </w:pPr>
    </w:p>
    <w:p w14:paraId="198C8B88">
      <w:pPr>
        <w:spacing w:line="600" w:lineRule="exact"/>
        <w:jc w:val="center"/>
        <w:rPr>
          <w:rFonts w:ascii="Arial" w:hAnsi="Arial" w:eastAsia="宋体"/>
          <w:b/>
          <w:bCs/>
          <w:sz w:val="32"/>
          <w:szCs w:val="32"/>
          <w:highlight w:val="none"/>
        </w:rPr>
      </w:pPr>
    </w:p>
    <w:p w14:paraId="3EB54D53">
      <w:pPr>
        <w:spacing w:line="600" w:lineRule="exact"/>
        <w:jc w:val="center"/>
        <w:rPr>
          <w:rFonts w:ascii="Arial" w:hAnsi="Arial" w:eastAsia="宋体"/>
          <w:b/>
          <w:bCs/>
          <w:sz w:val="32"/>
          <w:szCs w:val="32"/>
          <w:highlight w:val="none"/>
        </w:rPr>
      </w:pPr>
    </w:p>
    <w:p w14:paraId="66868EA6">
      <w:pPr>
        <w:spacing w:line="600" w:lineRule="exact"/>
        <w:jc w:val="center"/>
        <w:rPr>
          <w:rFonts w:ascii="Arial" w:hAnsi="Arial" w:eastAsia="宋体"/>
          <w:b/>
          <w:bCs/>
          <w:sz w:val="32"/>
          <w:szCs w:val="32"/>
          <w:highlight w:val="none"/>
        </w:rPr>
      </w:pPr>
    </w:p>
    <w:p w14:paraId="62DF2329">
      <w:pPr>
        <w:spacing w:line="600" w:lineRule="exact"/>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乌海市特殊教育学校</w:t>
      </w:r>
    </w:p>
    <w:p w14:paraId="5D2CA8C6">
      <w:pPr>
        <w:spacing w:line="600" w:lineRule="exact"/>
        <w:jc w:val="center"/>
        <w:rPr>
          <w:rFonts w:hint="eastAsia" w:ascii="方正小标宋简体" w:hAnsi="方正小标宋简体" w:eastAsia="方正小标宋简体" w:cs="方正小标宋简体"/>
          <w:sz w:val="44"/>
          <w:szCs w:val="44"/>
          <w:highlight w:val="none"/>
          <w:lang w:val="en-US" w:eastAsia="zh-CN"/>
        </w:rPr>
      </w:pPr>
      <w:r>
        <w:rPr>
          <w:rFonts w:hint="eastAsia" w:ascii="方正小标宋简体" w:hAnsi="方正小标宋简体" w:eastAsia="方正小标宋简体" w:cs="方正小标宋简体"/>
          <w:sz w:val="44"/>
          <w:szCs w:val="44"/>
          <w:highlight w:val="none"/>
        </w:rPr>
        <w:t>2026年度预算公开</w:t>
      </w:r>
      <w:r>
        <w:rPr>
          <w:rFonts w:hint="eastAsia" w:ascii="方正小标宋简体" w:hAnsi="方正小标宋简体" w:eastAsia="方正小标宋简体" w:cs="方正小标宋简体"/>
          <w:sz w:val="44"/>
          <w:szCs w:val="44"/>
          <w:highlight w:val="none"/>
          <w:lang w:val="en-US" w:eastAsia="zh-CN"/>
        </w:rPr>
        <w:t>报告</w:t>
      </w:r>
    </w:p>
    <w:p w14:paraId="45D8B626">
      <w:pPr>
        <w:adjustRightInd w:val="0"/>
        <w:snapToGrid w:val="0"/>
        <w:spacing w:line="600" w:lineRule="exact"/>
        <w:ind w:firstLine="640"/>
        <w:rPr>
          <w:rFonts w:ascii="Times New Roman" w:hAnsi="Times New Roman" w:eastAsia="仿宋_GB2312"/>
          <w:sz w:val="32"/>
          <w:szCs w:val="32"/>
          <w:highlight w:val="none"/>
        </w:rPr>
      </w:pPr>
    </w:p>
    <w:p w14:paraId="6D3910F2">
      <w:pPr>
        <w:adjustRightInd w:val="0"/>
        <w:snapToGrid w:val="0"/>
        <w:spacing w:line="600" w:lineRule="exact"/>
        <w:ind w:firstLine="640"/>
        <w:rPr>
          <w:rFonts w:ascii="Times New Roman" w:hAnsi="Times New Roman" w:eastAsia="仿宋_GB2312"/>
          <w:sz w:val="32"/>
          <w:szCs w:val="32"/>
          <w:highlight w:val="none"/>
        </w:rPr>
      </w:pPr>
    </w:p>
    <w:p w14:paraId="47FE0F04">
      <w:pPr>
        <w:adjustRightInd w:val="0"/>
        <w:snapToGrid w:val="0"/>
        <w:spacing w:line="600" w:lineRule="exact"/>
        <w:ind w:firstLine="640"/>
        <w:rPr>
          <w:rFonts w:ascii="Times New Roman" w:hAnsi="Times New Roman" w:eastAsia="仿宋_GB2312"/>
          <w:sz w:val="32"/>
          <w:szCs w:val="32"/>
          <w:highlight w:val="none"/>
        </w:rPr>
      </w:pPr>
    </w:p>
    <w:p w14:paraId="56D2FBF0">
      <w:pPr>
        <w:adjustRightInd w:val="0"/>
        <w:snapToGrid w:val="0"/>
        <w:spacing w:line="600" w:lineRule="exact"/>
        <w:ind w:firstLine="640"/>
        <w:rPr>
          <w:rFonts w:ascii="Times New Roman" w:hAnsi="Times New Roman" w:eastAsia="仿宋_GB2312"/>
          <w:sz w:val="32"/>
          <w:szCs w:val="32"/>
          <w:highlight w:val="none"/>
        </w:rPr>
      </w:pPr>
    </w:p>
    <w:p w14:paraId="07045B7C">
      <w:pPr>
        <w:adjustRightInd w:val="0"/>
        <w:snapToGrid w:val="0"/>
        <w:spacing w:line="600" w:lineRule="exact"/>
        <w:ind w:firstLine="640"/>
        <w:rPr>
          <w:rFonts w:ascii="Times New Roman" w:hAnsi="Times New Roman" w:eastAsia="仿宋_GB2312"/>
          <w:sz w:val="32"/>
          <w:szCs w:val="32"/>
          <w:highlight w:val="none"/>
        </w:rPr>
      </w:pPr>
    </w:p>
    <w:p w14:paraId="1B7A5574">
      <w:pPr>
        <w:adjustRightInd w:val="0"/>
        <w:snapToGrid w:val="0"/>
        <w:spacing w:line="600" w:lineRule="exact"/>
        <w:ind w:firstLine="640"/>
        <w:rPr>
          <w:rFonts w:ascii="Times New Roman" w:hAnsi="Times New Roman" w:eastAsia="仿宋_GB2312"/>
          <w:sz w:val="32"/>
          <w:szCs w:val="32"/>
          <w:highlight w:val="none"/>
        </w:rPr>
      </w:pPr>
    </w:p>
    <w:p w14:paraId="2C69C5AD">
      <w:pPr>
        <w:adjustRightInd w:val="0"/>
        <w:snapToGrid w:val="0"/>
        <w:spacing w:line="600" w:lineRule="exact"/>
        <w:ind w:firstLine="640"/>
        <w:rPr>
          <w:rFonts w:ascii="Times New Roman" w:hAnsi="Times New Roman" w:eastAsia="仿宋_GB2312"/>
          <w:sz w:val="32"/>
          <w:szCs w:val="32"/>
          <w:highlight w:val="none"/>
        </w:rPr>
      </w:pPr>
    </w:p>
    <w:p w14:paraId="4DA22CE8">
      <w:pPr>
        <w:adjustRightInd w:val="0"/>
        <w:snapToGrid w:val="0"/>
        <w:spacing w:line="600" w:lineRule="exact"/>
        <w:ind w:firstLine="640"/>
        <w:rPr>
          <w:rFonts w:ascii="Times New Roman" w:hAnsi="Times New Roman" w:eastAsia="仿宋_GB2312"/>
          <w:sz w:val="32"/>
          <w:szCs w:val="32"/>
          <w:highlight w:val="none"/>
        </w:rPr>
      </w:pPr>
    </w:p>
    <w:p w14:paraId="57275440">
      <w:pPr>
        <w:adjustRightInd w:val="0"/>
        <w:snapToGrid w:val="0"/>
        <w:spacing w:line="600" w:lineRule="exact"/>
        <w:ind w:firstLine="640"/>
        <w:rPr>
          <w:rFonts w:ascii="Times New Roman" w:hAnsi="Times New Roman" w:eastAsia="仿宋_GB2312"/>
          <w:sz w:val="32"/>
          <w:szCs w:val="32"/>
          <w:highlight w:val="none"/>
        </w:rPr>
      </w:pPr>
    </w:p>
    <w:p w14:paraId="122D7A56">
      <w:pPr>
        <w:pStyle w:val="2"/>
        <w:spacing w:after="0" w:line="600" w:lineRule="exact"/>
        <w:ind w:left="0" w:leftChars="0" w:firstLine="0"/>
        <w:jc w:val="center"/>
        <w:rPr>
          <w:rFonts w:hint="default" w:ascii="黑体" w:hAnsi="黑体" w:eastAsia="黑体" w:cs="黑体"/>
          <w:highlight w:val="none"/>
        </w:rPr>
      </w:pPr>
      <w:r>
        <w:rPr>
          <w:rFonts w:ascii="黑体" w:hAnsi="黑体" w:eastAsia="黑体" w:cs="黑体"/>
          <w:sz w:val="32"/>
          <w:szCs w:val="32"/>
          <w:highlight w:val="none"/>
        </w:rPr>
        <w:t>批复时间：</w:t>
      </w:r>
      <w:r>
        <w:rPr>
          <w:rFonts w:hint="eastAsia" w:ascii="黑体" w:hAnsi="黑体" w:eastAsia="黑体" w:cs="黑体"/>
          <w:sz w:val="32"/>
          <w:szCs w:val="32"/>
          <w:highlight w:val="none"/>
          <w:u w:val="single"/>
          <w:lang w:val="en-US" w:eastAsia="zh-CN"/>
        </w:rPr>
        <w:t>2026</w:t>
      </w:r>
      <w:r>
        <w:rPr>
          <w:rFonts w:ascii="黑体" w:hAnsi="黑体" w:eastAsia="黑体" w:cs="黑体"/>
          <w:sz w:val="32"/>
          <w:szCs w:val="32"/>
          <w:highlight w:val="none"/>
          <w:u w:val="single"/>
        </w:rPr>
        <w:t>年</w:t>
      </w:r>
      <w:r>
        <w:rPr>
          <w:rFonts w:hint="eastAsia" w:ascii="黑体" w:hAnsi="黑体" w:eastAsia="黑体" w:cs="黑体"/>
          <w:sz w:val="32"/>
          <w:szCs w:val="32"/>
          <w:highlight w:val="none"/>
          <w:u w:val="single"/>
          <w:lang w:val="en-US" w:eastAsia="zh-CN"/>
        </w:rPr>
        <w:t>2</w:t>
      </w:r>
      <w:r>
        <w:rPr>
          <w:rFonts w:ascii="黑体" w:hAnsi="黑体" w:eastAsia="黑体" w:cs="黑体"/>
          <w:sz w:val="32"/>
          <w:szCs w:val="32"/>
          <w:highlight w:val="none"/>
          <w:u w:val="single"/>
        </w:rPr>
        <w:t>月</w:t>
      </w:r>
      <w:r>
        <w:rPr>
          <w:rFonts w:hint="eastAsia" w:ascii="黑体" w:hAnsi="黑体" w:eastAsia="黑体" w:cs="黑体"/>
          <w:sz w:val="32"/>
          <w:szCs w:val="32"/>
          <w:highlight w:val="none"/>
          <w:u w:val="single"/>
          <w:lang w:val="en-US" w:eastAsia="zh-CN"/>
        </w:rPr>
        <w:t>14</w:t>
      </w:r>
      <w:r>
        <w:rPr>
          <w:rFonts w:ascii="黑体" w:hAnsi="黑体" w:eastAsia="黑体" w:cs="黑体"/>
          <w:sz w:val="32"/>
          <w:szCs w:val="32"/>
          <w:highlight w:val="none"/>
          <w:u w:val="single"/>
        </w:rPr>
        <w:t>日</w:t>
      </w:r>
    </w:p>
    <w:p w14:paraId="1454AECC">
      <w:pPr>
        <w:pStyle w:val="2"/>
        <w:spacing w:after="0" w:line="600" w:lineRule="exact"/>
        <w:ind w:left="0" w:leftChars="0" w:firstLine="0"/>
        <w:jc w:val="center"/>
        <w:rPr>
          <w:rFonts w:hint="default" w:ascii="黑体" w:hAnsi="黑体" w:eastAsia="黑体" w:cs="黑体"/>
          <w:highlight w:val="none"/>
        </w:rPr>
      </w:pPr>
      <w:r>
        <w:rPr>
          <w:rFonts w:ascii="黑体" w:hAnsi="黑体" w:eastAsia="黑体" w:cs="黑体"/>
          <w:sz w:val="32"/>
          <w:szCs w:val="32"/>
          <w:highlight w:val="none"/>
        </w:rPr>
        <w:t>公开时间：</w:t>
      </w:r>
      <w:r>
        <w:rPr>
          <w:rFonts w:hint="eastAsia" w:ascii="黑体" w:hAnsi="黑体" w:eastAsia="黑体" w:cs="黑体"/>
          <w:sz w:val="32"/>
          <w:szCs w:val="32"/>
          <w:highlight w:val="none"/>
          <w:u w:val="single"/>
          <w:lang w:val="en-US" w:eastAsia="zh-CN"/>
        </w:rPr>
        <w:t>2026</w:t>
      </w:r>
      <w:r>
        <w:rPr>
          <w:rFonts w:ascii="黑体" w:hAnsi="黑体" w:eastAsia="黑体" w:cs="黑体"/>
          <w:sz w:val="32"/>
          <w:szCs w:val="32"/>
          <w:highlight w:val="none"/>
          <w:u w:val="single"/>
        </w:rPr>
        <w:t>年</w:t>
      </w:r>
      <w:r>
        <w:rPr>
          <w:rFonts w:hint="eastAsia" w:ascii="黑体" w:hAnsi="黑体" w:eastAsia="黑体" w:cs="黑体"/>
          <w:sz w:val="32"/>
          <w:szCs w:val="32"/>
          <w:highlight w:val="none"/>
          <w:u w:val="single"/>
          <w:lang w:val="en-US" w:eastAsia="zh-CN"/>
        </w:rPr>
        <w:t>3</w:t>
      </w:r>
      <w:r>
        <w:rPr>
          <w:rFonts w:ascii="黑体" w:hAnsi="黑体" w:eastAsia="黑体" w:cs="黑体"/>
          <w:sz w:val="32"/>
          <w:szCs w:val="32"/>
          <w:highlight w:val="none"/>
          <w:u w:val="single"/>
        </w:rPr>
        <w:t>月</w:t>
      </w:r>
      <w:r>
        <w:rPr>
          <w:rFonts w:hint="eastAsia" w:ascii="黑体" w:hAnsi="黑体" w:eastAsia="黑体" w:cs="黑体"/>
          <w:sz w:val="32"/>
          <w:szCs w:val="32"/>
          <w:highlight w:val="none"/>
          <w:u w:val="single"/>
          <w:lang w:val="en-US" w:eastAsia="zh-CN"/>
        </w:rPr>
        <w:t>4</w:t>
      </w:r>
      <w:r>
        <w:rPr>
          <w:rFonts w:ascii="黑体" w:hAnsi="黑体" w:eastAsia="黑体" w:cs="黑体"/>
          <w:sz w:val="32"/>
          <w:szCs w:val="32"/>
          <w:highlight w:val="none"/>
          <w:u w:val="single"/>
        </w:rPr>
        <w:t>日</w:t>
      </w:r>
    </w:p>
    <w:p w14:paraId="6F5655BD">
      <w:pPr>
        <w:adjustRightInd w:val="0"/>
        <w:snapToGrid w:val="0"/>
        <w:spacing w:line="600" w:lineRule="exact"/>
        <w:ind w:firstLine="640"/>
        <w:rPr>
          <w:rFonts w:ascii="Times New Roman" w:hAnsi="Times New Roman" w:eastAsia="仿宋_GB2312"/>
          <w:sz w:val="32"/>
          <w:szCs w:val="32"/>
          <w:highlight w:val="none"/>
        </w:rPr>
      </w:pPr>
    </w:p>
    <w:p w14:paraId="6CCFAA5B">
      <w:pPr>
        <w:pageBreakBefore/>
        <w:tabs>
          <w:tab w:val="left" w:pos="4533"/>
        </w:tabs>
        <w:adjustRightInd w:val="0"/>
        <w:snapToGrid w:val="0"/>
        <w:spacing w:line="600" w:lineRule="exact"/>
        <w:jc w:val="center"/>
        <w:rPr>
          <w:sz w:val="44"/>
          <w:szCs w:val="44"/>
          <w:highlight w:val="none"/>
        </w:rPr>
      </w:pPr>
      <w:r>
        <w:rPr>
          <w:sz w:val="44"/>
          <w:szCs w:val="44"/>
          <w:highlight w:val="none"/>
        </w:rPr>
        <w:t>目</w:t>
      </w:r>
      <w:r>
        <w:rPr>
          <w:rFonts w:hint="eastAsia" w:eastAsia="宋体"/>
          <w:sz w:val="44"/>
          <w:szCs w:val="44"/>
          <w:highlight w:val="none"/>
          <w:lang w:val="en-US" w:eastAsia="zh-CN"/>
        </w:rPr>
        <w:t xml:space="preserve"> </w:t>
      </w:r>
      <w:r>
        <w:rPr>
          <w:sz w:val="44"/>
          <w:szCs w:val="44"/>
          <w:highlight w:val="none"/>
        </w:rPr>
        <w:t>录</w:t>
      </w:r>
    </w:p>
    <w:p w14:paraId="68689F1B">
      <w:pPr>
        <w:rPr>
          <w:highlight w:val="none"/>
        </w:rPr>
      </w:pPr>
    </w:p>
    <w:p w14:paraId="7092387F">
      <w:pPr>
        <w:pStyle w:val="6"/>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第一部分</w:t>
      </w:r>
      <w:r>
        <w:rPr>
          <w:rFonts w:hint="eastAsia" w:ascii="黑体" w:hAnsi="黑体" w:eastAsia="黑体" w:cs="黑体"/>
          <w:sz w:val="32"/>
          <w:szCs w:val="32"/>
          <w:highlight w:val="none"/>
          <w:lang w:val="en-US" w:eastAsia="zh-CN"/>
        </w:rPr>
        <w:t xml:space="preserve"> </w:t>
      </w:r>
      <w:r>
        <w:rPr>
          <w:rFonts w:hint="eastAsia" w:ascii="黑体" w:hAnsi="黑体" w:eastAsia="黑体" w:cs="黑体"/>
          <w:sz w:val="32"/>
          <w:szCs w:val="32"/>
          <w:highlight w:val="none"/>
        </w:rPr>
        <w:t>单位概况</w:t>
      </w:r>
    </w:p>
    <w:p w14:paraId="57691427">
      <w:pPr>
        <w:pStyle w:val="6"/>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一、主要职能、职责</w:t>
      </w:r>
    </w:p>
    <w:p w14:paraId="734E5BAD">
      <w:pPr>
        <w:pStyle w:val="6"/>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二、单位机构设置及预算单位构成情况</w:t>
      </w:r>
    </w:p>
    <w:p w14:paraId="4C1866FC">
      <w:pPr>
        <w:pStyle w:val="6"/>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三、单位主要工作任务及目标</w:t>
      </w:r>
    </w:p>
    <w:p w14:paraId="731E4040">
      <w:pPr>
        <w:pStyle w:val="6"/>
        <w:spacing w:after="0" w:line="600" w:lineRule="exact"/>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第二部分 2026年度单位预算情况说明</w:t>
      </w:r>
    </w:p>
    <w:p w14:paraId="3432BFA1">
      <w:pPr>
        <w:pStyle w:val="6"/>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一、</w:t>
      </w:r>
      <w:r>
        <w:rPr>
          <w:rFonts w:hint="eastAsia" w:eastAsia="仿宋_GB2312" w:cs="仿宋"/>
          <w:sz w:val="32"/>
          <w:szCs w:val="32"/>
          <w:highlight w:val="none"/>
          <w:lang w:val="en-US" w:eastAsia="zh-CN"/>
        </w:rPr>
        <w:t>单位</w:t>
      </w:r>
      <w:r>
        <w:rPr>
          <w:rFonts w:hint="eastAsia" w:ascii="Times New Roman" w:hAnsi="Times New Roman" w:eastAsia="仿宋_GB2312" w:cs="仿宋"/>
          <w:sz w:val="32"/>
          <w:szCs w:val="32"/>
          <w:highlight w:val="none"/>
        </w:rPr>
        <w:t>收支预算总体情况说明</w:t>
      </w:r>
    </w:p>
    <w:p w14:paraId="66A30B64">
      <w:pPr>
        <w:pStyle w:val="6"/>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w:t>
      </w:r>
      <w:r>
        <w:rPr>
          <w:rFonts w:hint="eastAsia" w:eastAsia="仿宋_GB2312" w:cs="仿宋"/>
          <w:sz w:val="32"/>
          <w:szCs w:val="32"/>
          <w:highlight w:val="none"/>
          <w:lang w:val="en-US" w:eastAsia="zh-CN"/>
        </w:rPr>
        <w:t>单位</w:t>
      </w:r>
      <w:r>
        <w:rPr>
          <w:rFonts w:hint="eastAsia" w:ascii="Times New Roman" w:hAnsi="Times New Roman" w:eastAsia="仿宋_GB2312" w:cs="仿宋"/>
          <w:sz w:val="32"/>
          <w:szCs w:val="32"/>
          <w:highlight w:val="none"/>
        </w:rPr>
        <w:t>收入预算情况说明</w:t>
      </w:r>
    </w:p>
    <w:p w14:paraId="112AE8BB">
      <w:pPr>
        <w:pStyle w:val="6"/>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三、</w:t>
      </w:r>
      <w:r>
        <w:rPr>
          <w:rFonts w:hint="eastAsia" w:eastAsia="仿宋_GB2312" w:cs="仿宋"/>
          <w:sz w:val="32"/>
          <w:szCs w:val="32"/>
          <w:highlight w:val="none"/>
          <w:lang w:val="en-US" w:eastAsia="zh-CN"/>
        </w:rPr>
        <w:t>单位</w:t>
      </w:r>
      <w:r>
        <w:rPr>
          <w:rFonts w:hint="eastAsia" w:ascii="Times New Roman" w:hAnsi="Times New Roman" w:eastAsia="仿宋_GB2312" w:cs="仿宋"/>
          <w:sz w:val="32"/>
          <w:szCs w:val="32"/>
          <w:highlight w:val="none"/>
        </w:rPr>
        <w:t>支出预算情况说明</w:t>
      </w:r>
    </w:p>
    <w:p w14:paraId="652FBEF6">
      <w:pPr>
        <w:pStyle w:val="6"/>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四、财政拨款收支预算总体情况说明</w:t>
      </w:r>
    </w:p>
    <w:p w14:paraId="0A114965">
      <w:pPr>
        <w:pStyle w:val="6"/>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五、一般公共预算支出预算情况说明</w:t>
      </w:r>
    </w:p>
    <w:p w14:paraId="7D9E1059">
      <w:pPr>
        <w:pStyle w:val="6"/>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六、一般公共预算基本支出预算情况说明</w:t>
      </w:r>
    </w:p>
    <w:p w14:paraId="40F9191D">
      <w:pPr>
        <w:pStyle w:val="6"/>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七、一般公共预算“三公”经费支出预算情况说明</w:t>
      </w:r>
    </w:p>
    <w:p w14:paraId="6CD50FB9">
      <w:pPr>
        <w:pStyle w:val="6"/>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八、政府性基金预算支出预算情况说明</w:t>
      </w:r>
    </w:p>
    <w:p w14:paraId="495EB567">
      <w:pPr>
        <w:pStyle w:val="6"/>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九、国有资本经营预算支出预算情况说明</w:t>
      </w:r>
    </w:p>
    <w:p w14:paraId="00D2C82B">
      <w:pPr>
        <w:pStyle w:val="6"/>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十、项目支出预算情况说明</w:t>
      </w:r>
    </w:p>
    <w:p w14:paraId="093678E9">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第三部分 其他公开事项说明</w:t>
      </w:r>
    </w:p>
    <w:p w14:paraId="59DB77F6">
      <w:pPr>
        <w:pStyle w:val="6"/>
        <w:keepNext w:val="0"/>
        <w:keepLines w:val="0"/>
        <w:pageBreakBefore w:val="0"/>
        <w:kinsoku/>
        <w:wordWrap/>
        <w:overflowPunct/>
        <w:topLinePunct w:val="0"/>
        <w:autoSpaceDE/>
        <w:autoSpaceDN/>
        <w:bidi w:val="0"/>
        <w:adjustRightInd/>
        <w:snapToGrid/>
        <w:spacing w:after="0" w:line="360" w:lineRule="auto"/>
        <w:ind w:right="0" w:rightChars="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一、机关运行经费安排情况说明</w:t>
      </w:r>
    </w:p>
    <w:p w14:paraId="1D339CF5">
      <w:pPr>
        <w:pStyle w:val="6"/>
        <w:keepNext w:val="0"/>
        <w:keepLines w:val="0"/>
        <w:pageBreakBefore w:val="0"/>
        <w:kinsoku/>
        <w:wordWrap/>
        <w:overflowPunct/>
        <w:topLinePunct w:val="0"/>
        <w:autoSpaceDE/>
        <w:autoSpaceDN/>
        <w:bidi w:val="0"/>
        <w:adjustRightInd/>
        <w:snapToGrid/>
        <w:spacing w:after="0" w:line="360" w:lineRule="auto"/>
        <w:ind w:right="0" w:rightChars="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二、事业运转经费安排情况说明</w:t>
      </w:r>
    </w:p>
    <w:p w14:paraId="5659CB49">
      <w:pPr>
        <w:pStyle w:val="6"/>
        <w:keepNext w:val="0"/>
        <w:keepLines w:val="0"/>
        <w:pageBreakBefore w:val="0"/>
        <w:kinsoku/>
        <w:wordWrap/>
        <w:overflowPunct/>
        <w:topLinePunct w:val="0"/>
        <w:autoSpaceDE/>
        <w:autoSpaceDN/>
        <w:bidi w:val="0"/>
        <w:adjustRightInd/>
        <w:snapToGrid/>
        <w:spacing w:after="0" w:line="360" w:lineRule="auto"/>
        <w:ind w:right="0" w:rightChars="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三、政府采购支出预算情况说明</w:t>
      </w:r>
    </w:p>
    <w:p w14:paraId="093576F1">
      <w:pPr>
        <w:pStyle w:val="6"/>
        <w:keepNext w:val="0"/>
        <w:keepLines w:val="0"/>
        <w:pageBreakBefore w:val="0"/>
        <w:kinsoku/>
        <w:wordWrap/>
        <w:overflowPunct/>
        <w:topLinePunct w:val="0"/>
        <w:autoSpaceDE/>
        <w:autoSpaceDN/>
        <w:bidi w:val="0"/>
        <w:adjustRightInd/>
        <w:snapToGrid/>
        <w:spacing w:after="0" w:line="360" w:lineRule="auto"/>
        <w:ind w:right="0" w:rightChars="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四、国有资产占有使用情况说明</w:t>
      </w:r>
    </w:p>
    <w:p w14:paraId="700D5CBC">
      <w:pPr>
        <w:pStyle w:val="6"/>
        <w:keepNext w:val="0"/>
        <w:keepLines w:val="0"/>
        <w:pageBreakBefore w:val="0"/>
        <w:kinsoku/>
        <w:wordWrap/>
        <w:overflowPunct/>
        <w:topLinePunct w:val="0"/>
        <w:autoSpaceDE/>
        <w:autoSpaceDN/>
        <w:bidi w:val="0"/>
        <w:adjustRightInd/>
        <w:snapToGrid/>
        <w:spacing w:after="0" w:line="360" w:lineRule="auto"/>
        <w:ind w:right="0" w:rightChars="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五、部门组织征收收入计划</w:t>
      </w:r>
    </w:p>
    <w:p w14:paraId="538654C6">
      <w:pPr>
        <w:pStyle w:val="6"/>
        <w:keepNext w:val="0"/>
        <w:keepLines w:val="0"/>
        <w:pageBreakBefore w:val="0"/>
        <w:kinsoku/>
        <w:wordWrap/>
        <w:overflowPunct/>
        <w:topLinePunct w:val="0"/>
        <w:autoSpaceDE/>
        <w:autoSpaceDN/>
        <w:bidi w:val="0"/>
        <w:adjustRightInd/>
        <w:snapToGrid/>
        <w:spacing w:after="0" w:line="360" w:lineRule="auto"/>
        <w:ind w:right="0" w:rightChars="0"/>
        <w:textAlignment w:val="auto"/>
        <w:outlineLvl w:val="9"/>
        <w:rPr>
          <w:rFonts w:hint="eastAsia" w:ascii="黑体" w:hAnsi="黑体" w:eastAsia="黑体" w:cs="黑体"/>
          <w:sz w:val="32"/>
          <w:szCs w:val="32"/>
          <w:highlight w:val="none"/>
        </w:rPr>
      </w:pPr>
      <w:r>
        <w:rPr>
          <w:rFonts w:hint="eastAsia" w:ascii="仿宋" w:hAnsi="仿宋" w:eastAsia="仿宋" w:cs="仿宋"/>
          <w:color w:val="auto"/>
          <w:sz w:val="32"/>
          <w:szCs w:val="32"/>
        </w:rPr>
        <w:t>六、绩效目标设置情况说明</w:t>
      </w:r>
    </w:p>
    <w:p w14:paraId="2145519D">
      <w:pPr>
        <w:pStyle w:val="6"/>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w:t>
      </w:r>
      <w:r>
        <w:rPr>
          <w:rFonts w:hint="eastAsia" w:ascii="黑体" w:hAnsi="黑体" w:eastAsia="黑体" w:cs="黑体"/>
          <w:sz w:val="32"/>
          <w:szCs w:val="32"/>
          <w:highlight w:val="none"/>
          <w:lang w:val="en-US" w:eastAsia="zh-CN"/>
        </w:rPr>
        <w:t>四</w:t>
      </w:r>
      <w:r>
        <w:rPr>
          <w:rFonts w:hint="eastAsia" w:ascii="黑体" w:hAnsi="黑体" w:eastAsia="黑体" w:cs="黑体"/>
          <w:sz w:val="32"/>
          <w:szCs w:val="32"/>
          <w:highlight w:val="none"/>
        </w:rPr>
        <w:t>部分</w:t>
      </w:r>
      <w:r>
        <w:rPr>
          <w:rFonts w:hint="eastAsia" w:ascii="黑体" w:hAnsi="黑体" w:eastAsia="黑体" w:cs="黑体"/>
          <w:sz w:val="32"/>
          <w:szCs w:val="32"/>
          <w:highlight w:val="none"/>
          <w:lang w:val="en-US" w:eastAsia="zh-CN"/>
        </w:rPr>
        <w:t xml:space="preserve"> </w:t>
      </w:r>
      <w:r>
        <w:rPr>
          <w:rFonts w:hint="eastAsia" w:ascii="黑体" w:hAnsi="黑体" w:eastAsia="黑体" w:cs="黑体"/>
          <w:sz w:val="32"/>
          <w:szCs w:val="32"/>
          <w:highlight w:val="none"/>
        </w:rPr>
        <w:t>名词解释</w:t>
      </w:r>
    </w:p>
    <w:p w14:paraId="69F460F5">
      <w:pPr>
        <w:pStyle w:val="6"/>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w:t>
      </w:r>
      <w:r>
        <w:rPr>
          <w:rFonts w:hint="eastAsia" w:ascii="黑体" w:hAnsi="黑体" w:eastAsia="黑体" w:cs="黑体"/>
          <w:sz w:val="32"/>
          <w:szCs w:val="32"/>
          <w:highlight w:val="none"/>
          <w:lang w:val="en-US" w:eastAsia="zh-CN"/>
        </w:rPr>
        <w:t>五</w:t>
      </w:r>
      <w:r>
        <w:rPr>
          <w:rFonts w:hint="eastAsia" w:ascii="黑体" w:hAnsi="黑体" w:eastAsia="黑体" w:cs="黑体"/>
          <w:sz w:val="32"/>
          <w:szCs w:val="32"/>
          <w:highlight w:val="none"/>
        </w:rPr>
        <w:t>部分</w:t>
      </w:r>
      <w:r>
        <w:rPr>
          <w:rFonts w:hint="eastAsia" w:ascii="黑体" w:hAnsi="黑体" w:eastAsia="黑体" w:cs="黑体"/>
          <w:sz w:val="32"/>
          <w:szCs w:val="32"/>
          <w:highlight w:val="none"/>
          <w:lang w:val="en-US" w:eastAsia="zh-CN"/>
        </w:rPr>
        <w:t xml:space="preserve"> </w:t>
      </w:r>
      <w:r>
        <w:rPr>
          <w:rFonts w:hint="eastAsia" w:ascii="黑体" w:hAnsi="黑体" w:eastAsia="黑体" w:cs="黑体"/>
          <w:sz w:val="32"/>
          <w:szCs w:val="32"/>
          <w:highlight w:val="none"/>
        </w:rPr>
        <w:t>预算公开联系方式及信息反馈渠道</w:t>
      </w:r>
    </w:p>
    <w:p w14:paraId="16DC210B">
      <w:pPr>
        <w:pStyle w:val="6"/>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w:t>
      </w:r>
      <w:r>
        <w:rPr>
          <w:rFonts w:hint="eastAsia" w:ascii="黑体" w:hAnsi="黑体" w:eastAsia="黑体" w:cs="黑体"/>
          <w:sz w:val="32"/>
          <w:szCs w:val="32"/>
          <w:highlight w:val="none"/>
          <w:lang w:val="en-US" w:eastAsia="zh-CN"/>
        </w:rPr>
        <w:t>六</w:t>
      </w:r>
      <w:r>
        <w:rPr>
          <w:rFonts w:hint="eastAsia" w:ascii="黑体" w:hAnsi="黑体" w:eastAsia="黑体" w:cs="黑体"/>
          <w:sz w:val="32"/>
          <w:szCs w:val="32"/>
          <w:highlight w:val="none"/>
        </w:rPr>
        <w:t>部分</w:t>
      </w:r>
      <w:r>
        <w:rPr>
          <w:rFonts w:hint="eastAsia" w:ascii="黑体" w:hAnsi="黑体" w:eastAsia="黑体" w:cs="黑体"/>
          <w:sz w:val="32"/>
          <w:szCs w:val="32"/>
          <w:highlight w:val="none"/>
          <w:lang w:val="en-US" w:eastAsia="zh-CN"/>
        </w:rPr>
        <w:t xml:space="preserve"> 2026</w:t>
      </w:r>
      <w:r>
        <w:rPr>
          <w:rFonts w:hint="eastAsia" w:ascii="黑体" w:hAnsi="黑体" w:eastAsia="黑体" w:cs="黑体"/>
          <w:sz w:val="32"/>
          <w:szCs w:val="32"/>
          <w:highlight w:val="none"/>
        </w:rPr>
        <w:t>年度单位预算表</w:t>
      </w:r>
    </w:p>
    <w:p w14:paraId="08668930">
      <w:pPr>
        <w:pStyle w:val="6"/>
        <w:spacing w:after="0" w:line="600" w:lineRule="exact"/>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一、</w:t>
      </w:r>
      <w:r>
        <w:rPr>
          <w:rFonts w:hint="eastAsia" w:eastAsia="仿宋_GB2312" w:cs="仿宋"/>
          <w:sz w:val="32"/>
          <w:szCs w:val="32"/>
          <w:highlight w:val="none"/>
          <w:lang w:val="en-US" w:eastAsia="zh-CN"/>
        </w:rPr>
        <w:t>单位</w:t>
      </w:r>
      <w:r>
        <w:rPr>
          <w:rFonts w:hint="eastAsia" w:ascii="Times New Roman" w:hAnsi="Times New Roman" w:eastAsia="仿宋_GB2312" w:cs="仿宋"/>
          <w:sz w:val="32"/>
          <w:szCs w:val="32"/>
          <w:highlight w:val="none"/>
        </w:rPr>
        <w:t>收支总体情况表</w:t>
      </w:r>
    </w:p>
    <w:p w14:paraId="5E6A6ED3">
      <w:pPr>
        <w:pStyle w:val="6"/>
        <w:spacing w:after="0" w:line="600" w:lineRule="exact"/>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w:t>
      </w:r>
      <w:r>
        <w:rPr>
          <w:rFonts w:hint="eastAsia" w:eastAsia="仿宋_GB2312" w:cs="仿宋"/>
          <w:sz w:val="32"/>
          <w:szCs w:val="32"/>
          <w:highlight w:val="none"/>
          <w:lang w:val="en-US" w:eastAsia="zh-CN"/>
        </w:rPr>
        <w:t>单位</w:t>
      </w:r>
      <w:r>
        <w:rPr>
          <w:rFonts w:hint="eastAsia" w:ascii="Times New Roman" w:hAnsi="Times New Roman" w:eastAsia="仿宋_GB2312" w:cs="仿宋"/>
          <w:sz w:val="32"/>
          <w:szCs w:val="32"/>
          <w:highlight w:val="none"/>
        </w:rPr>
        <w:t>收入总体情况表</w:t>
      </w:r>
    </w:p>
    <w:p w14:paraId="51994CDB">
      <w:pPr>
        <w:pStyle w:val="6"/>
        <w:spacing w:after="0" w:line="600" w:lineRule="exact"/>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三、</w:t>
      </w:r>
      <w:r>
        <w:rPr>
          <w:rFonts w:hint="eastAsia" w:eastAsia="仿宋_GB2312" w:cs="仿宋"/>
          <w:sz w:val="32"/>
          <w:szCs w:val="32"/>
          <w:highlight w:val="none"/>
          <w:lang w:val="en-US" w:eastAsia="zh-CN"/>
        </w:rPr>
        <w:t>单位</w:t>
      </w:r>
      <w:r>
        <w:rPr>
          <w:rFonts w:hint="eastAsia" w:ascii="Times New Roman" w:hAnsi="Times New Roman" w:eastAsia="仿宋_GB2312" w:cs="仿宋"/>
          <w:sz w:val="32"/>
          <w:szCs w:val="32"/>
          <w:highlight w:val="none"/>
        </w:rPr>
        <w:t>支出总体情况表</w:t>
      </w:r>
    </w:p>
    <w:p w14:paraId="61CF7791">
      <w:pPr>
        <w:pStyle w:val="6"/>
        <w:spacing w:after="0" w:line="600" w:lineRule="exact"/>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四、财政拨款收支总体情况表</w:t>
      </w:r>
    </w:p>
    <w:p w14:paraId="15ABD3DF">
      <w:pPr>
        <w:pStyle w:val="6"/>
        <w:spacing w:after="0" w:line="600" w:lineRule="exact"/>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五、一般公共预算支出情况表</w:t>
      </w:r>
    </w:p>
    <w:p w14:paraId="5C778A17">
      <w:pPr>
        <w:pStyle w:val="6"/>
        <w:spacing w:after="0" w:line="600" w:lineRule="exact"/>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六、一般公共预算基本支出情况表</w:t>
      </w:r>
    </w:p>
    <w:p w14:paraId="074D0ED1">
      <w:pPr>
        <w:pStyle w:val="6"/>
        <w:spacing w:after="0" w:line="600" w:lineRule="exact"/>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七、一般公共预算“三公”经费支出情况表</w:t>
      </w:r>
    </w:p>
    <w:p w14:paraId="78EB950E">
      <w:pPr>
        <w:pStyle w:val="6"/>
        <w:spacing w:after="0" w:line="600" w:lineRule="exact"/>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八、政府性基金预算支出情况表</w:t>
      </w:r>
    </w:p>
    <w:p w14:paraId="58E58EA4">
      <w:pPr>
        <w:pStyle w:val="6"/>
        <w:spacing w:after="0" w:line="600" w:lineRule="exact"/>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九、国有资本经营预算支出表</w:t>
      </w:r>
    </w:p>
    <w:p w14:paraId="7CEB465B">
      <w:pPr>
        <w:pStyle w:val="6"/>
        <w:spacing w:after="0" w:line="600" w:lineRule="exact"/>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十、项目支出表</w:t>
      </w:r>
    </w:p>
    <w:p w14:paraId="37D511B2">
      <w:pPr>
        <w:pStyle w:val="6"/>
        <w:spacing w:after="0" w:line="600" w:lineRule="exact"/>
        <w:rPr>
          <w:rFonts w:hint="eastAsia"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十一、项目绩效目标表</w:t>
      </w:r>
    </w:p>
    <w:p w14:paraId="5074C031">
      <w:pPr>
        <w:pStyle w:val="6"/>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十二、政府采购预算表</w:t>
      </w:r>
    </w:p>
    <w:p w14:paraId="11F13688">
      <w:pPr>
        <w:pStyle w:val="2"/>
        <w:rPr>
          <w:rFonts w:hint="default"/>
          <w:highlight w:val="none"/>
        </w:rPr>
      </w:pPr>
    </w:p>
    <w:p w14:paraId="5B04123B">
      <w:pPr>
        <w:pStyle w:val="2"/>
        <w:rPr>
          <w:rFonts w:hint="default"/>
          <w:highlight w:val="none"/>
        </w:rPr>
        <w:sectPr>
          <w:headerReference r:id="rId3" w:type="default"/>
          <w:footerReference r:id="rId4" w:type="default"/>
          <w:pgSz w:w="11910" w:h="16840"/>
          <w:pgMar w:top="1582" w:right="1680" w:bottom="278" w:left="1640" w:header="720" w:footer="720" w:gutter="0"/>
          <w:pgNumType w:fmt="numberInDash"/>
          <w:cols w:space="0" w:num="1"/>
        </w:sectPr>
      </w:pPr>
    </w:p>
    <w:p w14:paraId="60380443">
      <w:pPr>
        <w:pStyle w:val="5"/>
        <w:tabs>
          <w:tab w:val="left" w:pos="4392"/>
        </w:tabs>
        <w:adjustRightInd/>
        <w:snapToGrid/>
        <w:spacing w:before="0" w:after="0" w:line="600" w:lineRule="exact"/>
        <w:ind w:firstLine="0" w:firstLineChars="0"/>
        <w:jc w:val="center"/>
        <w:rPr>
          <w:rFonts w:hint="eastAsia" w:ascii="仿宋_GB2312" w:hAnsi="仿宋" w:eastAsia="仿宋_GB2312" w:cs="仿宋"/>
          <w:b/>
          <w:bCs/>
          <w:color w:val="auto"/>
          <w:kern w:val="0"/>
          <w:sz w:val="36"/>
          <w:szCs w:val="32"/>
          <w:lang w:val="en-US" w:eastAsia="zh-CN" w:bidi="ar"/>
        </w:rPr>
      </w:pPr>
      <w:bookmarkStart w:id="0" w:name="_Toc30742"/>
      <w:r>
        <w:rPr>
          <w:rFonts w:hint="eastAsia" w:ascii="仿宋_GB2312" w:hAnsi="仿宋" w:eastAsia="仿宋_GB2312" w:cs="仿宋"/>
          <w:b/>
          <w:bCs/>
          <w:color w:val="auto"/>
          <w:kern w:val="0"/>
          <w:sz w:val="36"/>
          <w:szCs w:val="32"/>
          <w:lang w:val="en-US" w:eastAsia="zh-CN" w:bidi="ar"/>
        </w:rPr>
        <w:t>第一部分 单位概况</w:t>
      </w:r>
      <w:bookmarkEnd w:id="0"/>
    </w:p>
    <w:p w14:paraId="5F90A8A6">
      <w:pPr>
        <w:spacing w:line="600" w:lineRule="exact"/>
        <w:rPr>
          <w:rFonts w:ascii="方正小标宋简体" w:hAnsi="方正小标宋简体" w:eastAsia="方正小标宋简体" w:cs="方正小标宋简体"/>
          <w:sz w:val="36"/>
          <w:szCs w:val="36"/>
          <w:highlight w:val="none"/>
        </w:rPr>
      </w:pPr>
    </w:p>
    <w:p w14:paraId="4D0EAC4B">
      <w:pPr>
        <w:numPr>
          <w:ilvl w:val="0"/>
          <w:numId w:val="0"/>
        </w:numPr>
        <w:spacing w:line="600" w:lineRule="exact"/>
        <w:ind w:left="17" w:leftChars="8" w:firstLine="624" w:firstLineChars="195"/>
        <w:outlineLvl w:val="2"/>
        <w:rPr>
          <w:rFonts w:hint="eastAsia" w:eastAsia="黑体" w:cs="黑体"/>
          <w:sz w:val="32"/>
          <w:szCs w:val="36"/>
          <w:highlight w:val="none"/>
        </w:rPr>
      </w:pPr>
      <w:r>
        <w:rPr>
          <w:rFonts w:hint="eastAsia" w:ascii="Times New Roman" w:hAnsi="Times New Roman" w:eastAsia="黑体" w:cs="黑体"/>
          <w:kern w:val="2"/>
          <w:sz w:val="32"/>
          <w:szCs w:val="36"/>
          <w:lang w:val="en-US" w:eastAsia="zh-CN" w:bidi="ar-SA"/>
        </w:rPr>
        <w:t>一、</w:t>
      </w:r>
      <w:r>
        <w:rPr>
          <w:rFonts w:hint="eastAsia" w:eastAsia="黑体" w:cs="黑体"/>
          <w:kern w:val="2"/>
          <w:sz w:val="32"/>
          <w:szCs w:val="36"/>
          <w:lang w:val="en-US" w:eastAsia="zh-CN" w:bidi="ar-SA"/>
        </w:rPr>
        <w:t>单位</w:t>
      </w:r>
      <w:r>
        <w:rPr>
          <w:rFonts w:hint="eastAsia" w:eastAsia="黑体" w:cs="黑体"/>
          <w:sz w:val="32"/>
          <w:szCs w:val="36"/>
          <w:highlight w:val="none"/>
        </w:rPr>
        <w:t>主要职能</w:t>
      </w:r>
      <w:r>
        <w:rPr>
          <w:rFonts w:hint="eastAsia" w:eastAsia="黑体" w:cs="黑体"/>
          <w:sz w:val="32"/>
          <w:szCs w:val="36"/>
          <w:highlight w:val="none"/>
          <w:lang w:eastAsia="zh-CN"/>
        </w:rPr>
        <w:t>、</w:t>
      </w:r>
      <w:r>
        <w:rPr>
          <w:rFonts w:hint="eastAsia" w:eastAsia="黑体" w:cs="黑体"/>
          <w:sz w:val="32"/>
          <w:szCs w:val="36"/>
          <w:highlight w:val="none"/>
        </w:rPr>
        <w:t>职责</w:t>
      </w:r>
    </w:p>
    <w:p w14:paraId="448D8333">
      <w:pPr>
        <w:widowControl/>
        <w:spacing w:line="600" w:lineRule="exact"/>
        <w:ind w:firstLine="640" w:firstLineChars="200"/>
        <w:jc w:val="left"/>
        <w:rPr>
          <w:rFonts w:hint="eastAsia" w:ascii="楷体_GB2312" w:hAnsi="仿宋" w:eastAsia="楷体_GB2312" w:cs="仿宋"/>
          <w:bCs/>
          <w:color w:val="auto"/>
          <w:kern w:val="0"/>
          <w:sz w:val="32"/>
          <w:szCs w:val="32"/>
          <w:lang w:val="en-US" w:eastAsia="zh-CN" w:bidi="ar"/>
        </w:rPr>
      </w:pPr>
      <w:r>
        <w:rPr>
          <w:rFonts w:hint="eastAsia" w:ascii="楷体_GB2312" w:hAnsi="仿宋" w:eastAsia="楷体_GB2312" w:cs="仿宋"/>
          <w:bCs/>
          <w:color w:val="auto"/>
          <w:kern w:val="0"/>
          <w:sz w:val="32"/>
          <w:szCs w:val="32"/>
          <w:lang w:val="en-US" w:eastAsia="zh-CN" w:bidi="ar"/>
        </w:rPr>
        <w:t>（一）单位职能</w:t>
      </w:r>
    </w:p>
    <w:p w14:paraId="3B054EF9">
      <w:pPr>
        <w:widowControl/>
        <w:spacing w:line="600" w:lineRule="exact"/>
        <w:ind w:firstLine="640" w:firstLineChars="200"/>
        <w:jc w:val="left"/>
        <w:rPr>
          <w:rFonts w:hint="eastAsia" w:ascii="仿宋_GB2312" w:hAnsi="仿宋" w:eastAsia="仿宋_GB2312" w:cs="仿宋"/>
          <w:color w:val="auto"/>
          <w:kern w:val="0"/>
          <w:sz w:val="32"/>
          <w:szCs w:val="32"/>
          <w:lang w:val="en-US" w:eastAsia="zh-CN" w:bidi="ar"/>
        </w:rPr>
      </w:pPr>
      <w:r>
        <w:rPr>
          <w:rFonts w:hint="eastAsia" w:ascii="仿宋_GB2312" w:hAnsi="仿宋" w:eastAsia="仿宋_GB2312" w:cs="仿宋"/>
          <w:color w:val="auto"/>
          <w:kern w:val="0"/>
          <w:sz w:val="32"/>
          <w:szCs w:val="32"/>
          <w:lang w:val="en-US" w:eastAsia="zh-CN" w:bidi="ar"/>
        </w:rPr>
        <w:t>1.乌海市特殊教育学校，为乌海市教育局所属相当与正科级公益一类的事业单位。</w:t>
      </w:r>
    </w:p>
    <w:p w14:paraId="7978BBA4">
      <w:pPr>
        <w:widowControl/>
        <w:spacing w:line="600" w:lineRule="exact"/>
        <w:ind w:firstLine="640" w:firstLineChars="200"/>
        <w:jc w:val="left"/>
        <w:rPr>
          <w:rFonts w:hint="eastAsia" w:ascii="楷体_GB2312" w:hAnsi="仿宋" w:eastAsia="楷体_GB2312" w:cs="仿宋"/>
          <w:bCs/>
          <w:color w:val="auto"/>
          <w:kern w:val="0"/>
          <w:sz w:val="32"/>
          <w:szCs w:val="32"/>
          <w:lang w:val="en-US" w:eastAsia="zh-CN" w:bidi="ar"/>
        </w:rPr>
      </w:pPr>
      <w:r>
        <w:rPr>
          <w:rFonts w:hint="eastAsia" w:ascii="楷体_GB2312" w:hAnsi="仿宋" w:eastAsia="楷体_GB2312" w:cs="仿宋"/>
          <w:bCs/>
          <w:color w:val="auto"/>
          <w:kern w:val="0"/>
          <w:sz w:val="32"/>
          <w:szCs w:val="32"/>
          <w:lang w:val="en-US" w:eastAsia="zh-CN" w:bidi="ar"/>
        </w:rPr>
        <w:t>（二）单位职责</w:t>
      </w:r>
    </w:p>
    <w:p w14:paraId="4B0D56D2">
      <w:pPr>
        <w:widowControl/>
        <w:spacing w:line="600" w:lineRule="exact"/>
        <w:ind w:firstLine="640" w:firstLineChars="200"/>
        <w:jc w:val="left"/>
        <w:rPr>
          <w:rFonts w:hint="eastAsia" w:ascii="仿宋_GB2312" w:hAnsi="仿宋" w:eastAsia="仿宋_GB2312" w:cs="仿宋"/>
          <w:color w:val="auto"/>
          <w:kern w:val="0"/>
          <w:sz w:val="32"/>
          <w:szCs w:val="32"/>
          <w:lang w:val="en-US" w:eastAsia="zh-CN" w:bidi="ar"/>
        </w:rPr>
      </w:pPr>
      <w:r>
        <w:rPr>
          <w:rFonts w:hint="eastAsia" w:ascii="仿宋_GB2312" w:hAnsi="仿宋" w:eastAsia="仿宋_GB2312" w:cs="仿宋"/>
          <w:color w:val="auto"/>
          <w:kern w:val="0"/>
          <w:sz w:val="32"/>
          <w:szCs w:val="32"/>
          <w:lang w:val="en-US" w:eastAsia="zh-CN" w:bidi="ar"/>
        </w:rPr>
        <w:t>1.贯彻国家教育方针，根据学生身心特点和需要实施教育，让学生掌握一定的日常生活、劳动、生产的知识和技能。初步树立自尊、自信、自强、自立的精神和维护自身合法权益的意识，形成适应社会的基本能力。</w:t>
      </w:r>
    </w:p>
    <w:p w14:paraId="08FF275B">
      <w:pPr>
        <w:widowControl/>
        <w:spacing w:line="600" w:lineRule="exact"/>
        <w:ind w:firstLine="640" w:firstLineChars="200"/>
        <w:jc w:val="left"/>
        <w:rPr>
          <w:rFonts w:hint="eastAsia" w:ascii="仿宋_GB2312" w:hAnsi="仿宋" w:eastAsia="仿宋_GB2312" w:cs="仿宋"/>
          <w:color w:val="auto"/>
          <w:kern w:val="0"/>
          <w:sz w:val="32"/>
          <w:szCs w:val="32"/>
          <w:lang w:val="en-US" w:eastAsia="zh-CN" w:bidi="ar"/>
        </w:rPr>
      </w:pPr>
      <w:r>
        <w:rPr>
          <w:rFonts w:hint="eastAsia" w:ascii="仿宋_GB2312" w:hAnsi="仿宋" w:eastAsia="仿宋_GB2312" w:cs="仿宋"/>
          <w:color w:val="auto"/>
          <w:kern w:val="0"/>
          <w:sz w:val="32"/>
          <w:szCs w:val="32"/>
          <w:lang w:val="en-US" w:eastAsia="zh-CN" w:bidi="ar"/>
        </w:rPr>
        <w:t>2.按照国家制定的特殊教育学校课程计划、教学大纲进行教育教学工作。</w:t>
      </w:r>
    </w:p>
    <w:p w14:paraId="5587AFB4">
      <w:pPr>
        <w:numPr>
          <w:ilvl w:val="0"/>
          <w:numId w:val="0"/>
        </w:numPr>
        <w:spacing w:line="600" w:lineRule="exact"/>
        <w:ind w:left="17" w:leftChars="8" w:firstLine="624" w:firstLineChars="195"/>
        <w:outlineLvl w:val="2"/>
        <w:rPr>
          <w:rFonts w:eastAsia="黑体" w:cs="黑体"/>
          <w:sz w:val="32"/>
          <w:szCs w:val="36"/>
          <w:highlight w:val="none"/>
        </w:rPr>
      </w:pPr>
      <w:r>
        <w:rPr>
          <w:rFonts w:hint="eastAsia" w:ascii="Times New Roman" w:hAnsi="Times New Roman" w:eastAsia="黑体" w:cs="黑体"/>
          <w:kern w:val="2"/>
          <w:sz w:val="32"/>
          <w:szCs w:val="36"/>
          <w:lang w:val="en-US" w:eastAsia="zh-CN" w:bidi="ar-SA"/>
        </w:rPr>
        <w:t>二、</w:t>
      </w:r>
      <w:r>
        <w:rPr>
          <w:rFonts w:hint="eastAsia" w:eastAsia="黑体" w:cs="黑体"/>
          <w:sz w:val="32"/>
          <w:szCs w:val="36"/>
          <w:highlight w:val="none"/>
        </w:rPr>
        <w:t>机构设置及预算单位构成情况</w:t>
      </w:r>
    </w:p>
    <w:p w14:paraId="5E12D214">
      <w:pPr>
        <w:widowControl/>
        <w:spacing w:line="600" w:lineRule="exact"/>
        <w:ind w:firstLine="640" w:firstLineChars="200"/>
        <w:jc w:val="left"/>
        <w:rPr>
          <w:rFonts w:hint="eastAsia" w:ascii="仿宋_GB2312" w:eastAsia="仿宋_GB2312"/>
          <w:color w:val="auto"/>
          <w:sz w:val="32"/>
          <w:szCs w:val="32"/>
        </w:rPr>
      </w:pPr>
      <w:r>
        <w:rPr>
          <w:rFonts w:hint="eastAsia" w:ascii="仿宋_GB2312" w:hAnsi="仿宋" w:eastAsia="仿宋_GB2312" w:cs="仿宋"/>
          <w:color w:val="auto"/>
          <w:kern w:val="0"/>
          <w:sz w:val="32"/>
          <w:szCs w:val="32"/>
          <w:lang w:bidi="ar"/>
        </w:rPr>
        <w:t>从预算单位构成看，</w:t>
      </w:r>
      <w:r>
        <w:rPr>
          <w:rFonts w:hint="eastAsia" w:ascii="仿宋_GB2312" w:hAnsi="仿宋" w:eastAsia="仿宋_GB2312" w:cs="仿宋"/>
          <w:color w:val="auto"/>
          <w:kern w:val="0"/>
          <w:sz w:val="32"/>
          <w:szCs w:val="32"/>
          <w:lang w:val="en-US" w:eastAsia="zh-CN" w:bidi="ar"/>
        </w:rPr>
        <w:t>2026</w:t>
      </w:r>
      <w:r>
        <w:rPr>
          <w:rFonts w:hint="eastAsia" w:ascii="仿宋_GB2312" w:hAnsi="仿宋" w:eastAsia="仿宋_GB2312" w:cs="仿宋"/>
          <w:color w:val="auto"/>
          <w:kern w:val="0"/>
          <w:sz w:val="32"/>
          <w:szCs w:val="32"/>
          <w:lang w:eastAsia="zh-CN" w:bidi="ar"/>
        </w:rPr>
        <w:t>年</w:t>
      </w:r>
      <w:r>
        <w:rPr>
          <w:rFonts w:hint="eastAsia" w:ascii="仿宋_GB2312" w:hAnsi="仿宋" w:eastAsia="仿宋_GB2312" w:cs="仿宋"/>
          <w:color w:val="auto"/>
          <w:kern w:val="0"/>
          <w:sz w:val="32"/>
          <w:szCs w:val="32"/>
          <w:lang w:bidi="ar"/>
        </w:rPr>
        <w:t>乌海市特殊教育</w:t>
      </w:r>
      <w:r>
        <w:rPr>
          <w:rFonts w:hint="eastAsia" w:ascii="仿宋_GB2312" w:hAnsi="仿宋" w:eastAsia="仿宋_GB2312" w:cs="仿宋"/>
          <w:color w:val="auto"/>
          <w:kern w:val="0"/>
          <w:sz w:val="32"/>
          <w:szCs w:val="32"/>
          <w:lang w:val="en-US" w:eastAsia="zh-CN" w:bidi="ar"/>
        </w:rPr>
        <w:t>学校单位</w:t>
      </w:r>
      <w:r>
        <w:rPr>
          <w:rFonts w:hint="eastAsia" w:ascii="仿宋_GB2312" w:hAnsi="仿宋" w:eastAsia="仿宋_GB2312" w:cs="仿宋"/>
          <w:color w:val="auto"/>
          <w:kern w:val="0"/>
          <w:sz w:val="32"/>
          <w:szCs w:val="32"/>
          <w:lang w:bidi="ar"/>
        </w:rPr>
        <w:t>预算包括：部门本级预算和部门所属事业单位预算。</w:t>
      </w:r>
    </w:p>
    <w:p w14:paraId="420AAB30">
      <w:pPr>
        <w:widowControl/>
        <w:spacing w:line="600" w:lineRule="exact"/>
        <w:ind w:firstLine="640" w:firstLineChars="200"/>
        <w:jc w:val="left"/>
        <w:rPr>
          <w:rFonts w:hint="eastAsia" w:ascii="楷体_GB2312" w:eastAsia="楷体_GB2312"/>
          <w:color w:val="auto"/>
          <w:sz w:val="32"/>
          <w:szCs w:val="32"/>
        </w:rPr>
      </w:pPr>
      <w:r>
        <w:rPr>
          <w:rFonts w:hint="eastAsia" w:ascii="楷体_GB2312" w:hAnsi="仿宋" w:eastAsia="楷体_GB2312" w:cs="仿宋"/>
          <w:bCs/>
          <w:color w:val="auto"/>
          <w:kern w:val="0"/>
          <w:sz w:val="32"/>
          <w:szCs w:val="32"/>
          <w:lang w:bidi="ar"/>
        </w:rPr>
        <w:t>（一）乌海市乌海市特殊教育学校</w:t>
      </w:r>
      <w:r>
        <w:rPr>
          <w:rFonts w:hint="eastAsia" w:ascii="楷体_GB2312" w:hAnsi="仿宋" w:eastAsia="楷体_GB2312" w:cs="仿宋"/>
          <w:bCs/>
          <w:color w:val="auto"/>
          <w:kern w:val="0"/>
          <w:sz w:val="32"/>
          <w:szCs w:val="32"/>
          <w:lang w:val="en-US" w:eastAsia="zh-CN" w:bidi="ar"/>
        </w:rPr>
        <w:t>单位</w:t>
      </w:r>
      <w:r>
        <w:rPr>
          <w:rFonts w:hint="eastAsia" w:ascii="楷体_GB2312" w:hAnsi="仿宋" w:eastAsia="楷体_GB2312" w:cs="仿宋"/>
          <w:bCs/>
          <w:color w:val="auto"/>
          <w:kern w:val="0"/>
          <w:sz w:val="32"/>
          <w:szCs w:val="32"/>
          <w:lang w:bidi="ar"/>
        </w:rPr>
        <w:t>机构</w:t>
      </w:r>
    </w:p>
    <w:p w14:paraId="2195FEA6">
      <w:pPr>
        <w:widowControl/>
        <w:spacing w:line="600" w:lineRule="exact"/>
        <w:ind w:firstLine="640" w:firstLineChars="200"/>
        <w:jc w:val="left"/>
        <w:rPr>
          <w:rFonts w:hint="eastAsia" w:ascii="仿宋_GB2312" w:eastAsia="仿宋_GB2312"/>
          <w:color w:val="auto"/>
          <w:sz w:val="32"/>
          <w:szCs w:val="32"/>
        </w:rPr>
      </w:pPr>
      <w:r>
        <w:rPr>
          <w:rFonts w:hint="eastAsia" w:ascii="仿宋_GB2312" w:hAnsi="仿宋" w:eastAsia="仿宋_GB2312" w:cs="仿宋"/>
          <w:color w:val="auto"/>
          <w:kern w:val="0"/>
          <w:sz w:val="32"/>
          <w:szCs w:val="32"/>
          <w:lang w:val="en-US" w:eastAsia="zh-CN" w:bidi="ar"/>
        </w:rPr>
        <w:t>2</w:t>
      </w:r>
      <w:r>
        <w:rPr>
          <w:rFonts w:hint="eastAsia" w:ascii="仿宋_GB2312" w:hAnsi="仿宋" w:eastAsia="仿宋_GB2312" w:cs="仿宋"/>
          <w:color w:val="auto"/>
          <w:kern w:val="0"/>
          <w:sz w:val="32"/>
          <w:szCs w:val="32"/>
          <w:u w:val="none"/>
          <w:lang w:val="en-US" w:eastAsia="zh-CN" w:bidi="ar"/>
        </w:rPr>
        <w:t>026</w:t>
      </w:r>
      <w:r>
        <w:rPr>
          <w:rFonts w:hint="eastAsia" w:ascii="仿宋_GB2312" w:hAnsi="仿宋" w:eastAsia="仿宋_GB2312" w:cs="仿宋"/>
          <w:color w:val="auto"/>
          <w:kern w:val="0"/>
          <w:sz w:val="32"/>
          <w:szCs w:val="32"/>
          <w:u w:val="none"/>
          <w:lang w:eastAsia="zh-CN" w:bidi="ar"/>
        </w:rPr>
        <w:t>年</w:t>
      </w:r>
      <w:r>
        <w:rPr>
          <w:rFonts w:hint="eastAsia" w:ascii="仿宋_GB2312" w:hAnsi="仿宋" w:eastAsia="仿宋_GB2312" w:cs="仿宋"/>
          <w:color w:val="auto"/>
          <w:kern w:val="0"/>
          <w:sz w:val="32"/>
          <w:szCs w:val="32"/>
          <w:u w:val="none"/>
          <w:lang w:bidi="ar"/>
        </w:rPr>
        <w:t>，乌海市特殊教育学校共有机构数</w:t>
      </w:r>
      <w:r>
        <w:rPr>
          <w:rFonts w:hint="eastAsia" w:ascii="仿宋" w:hAnsi="仿宋" w:eastAsia="仿宋" w:cs="仿宋"/>
          <w:color w:val="auto"/>
          <w:sz w:val="32"/>
          <w:szCs w:val="32"/>
          <w:u w:val="none"/>
          <w:lang w:val="en-US" w:eastAsia="zh-CN"/>
        </w:rPr>
        <w:t>1</w:t>
      </w:r>
      <w:r>
        <w:rPr>
          <w:rFonts w:hint="eastAsia" w:ascii="仿宋_GB2312" w:hAnsi="仿宋" w:eastAsia="仿宋_GB2312" w:cs="仿宋"/>
          <w:color w:val="auto"/>
          <w:kern w:val="0"/>
          <w:sz w:val="32"/>
          <w:szCs w:val="32"/>
          <w:u w:val="none"/>
          <w:lang w:bidi="ar"/>
        </w:rPr>
        <w:t>家，其中财政拨款的行政单位</w:t>
      </w:r>
      <w:r>
        <w:rPr>
          <w:rFonts w:hint="eastAsia" w:ascii="仿宋" w:hAnsi="仿宋" w:eastAsia="仿宋" w:cs="仿宋"/>
          <w:color w:val="auto"/>
          <w:sz w:val="32"/>
          <w:szCs w:val="32"/>
          <w:u w:val="none"/>
          <w:lang w:val="en-US" w:eastAsia="zh-CN"/>
        </w:rPr>
        <w:t>0</w:t>
      </w:r>
      <w:r>
        <w:rPr>
          <w:rFonts w:hint="eastAsia" w:ascii="仿宋_GB2312" w:hAnsi="仿宋" w:eastAsia="仿宋_GB2312" w:cs="仿宋"/>
          <w:color w:val="auto"/>
          <w:kern w:val="0"/>
          <w:sz w:val="32"/>
          <w:szCs w:val="32"/>
          <w:u w:val="none"/>
          <w:lang w:bidi="ar"/>
        </w:rPr>
        <w:t>家、参照公务员法管理的事业单位</w:t>
      </w:r>
      <w:r>
        <w:rPr>
          <w:rFonts w:hint="eastAsia" w:ascii="仿宋" w:hAnsi="仿宋" w:eastAsia="仿宋" w:cs="仿宋"/>
          <w:color w:val="auto"/>
          <w:sz w:val="32"/>
          <w:szCs w:val="32"/>
          <w:u w:val="none"/>
          <w:lang w:val="en-US" w:eastAsia="zh-CN"/>
        </w:rPr>
        <w:t>0</w:t>
      </w:r>
      <w:r>
        <w:rPr>
          <w:rFonts w:hint="eastAsia" w:ascii="仿宋_GB2312" w:hAnsi="仿宋" w:eastAsia="仿宋_GB2312" w:cs="仿宋"/>
          <w:color w:val="auto"/>
          <w:kern w:val="0"/>
          <w:sz w:val="32"/>
          <w:szCs w:val="32"/>
          <w:u w:val="none"/>
          <w:lang w:bidi="ar"/>
        </w:rPr>
        <w:t>家、公益一类事业单位</w:t>
      </w:r>
      <w:r>
        <w:rPr>
          <w:rFonts w:hint="eastAsia" w:ascii="仿宋" w:hAnsi="仿宋" w:eastAsia="仿宋" w:cs="仿宋"/>
          <w:color w:val="auto"/>
          <w:sz w:val="32"/>
          <w:szCs w:val="32"/>
          <w:u w:val="none"/>
          <w:lang w:val="en-US" w:eastAsia="zh-CN"/>
        </w:rPr>
        <w:t>1</w:t>
      </w:r>
      <w:r>
        <w:rPr>
          <w:rFonts w:hint="eastAsia" w:ascii="仿宋_GB2312" w:hAnsi="仿宋" w:eastAsia="仿宋_GB2312" w:cs="仿宋"/>
          <w:color w:val="auto"/>
          <w:kern w:val="0"/>
          <w:sz w:val="32"/>
          <w:szCs w:val="32"/>
          <w:u w:val="none"/>
          <w:lang w:bidi="ar"/>
        </w:rPr>
        <w:t>家、公益二类事业单位</w:t>
      </w:r>
      <w:r>
        <w:rPr>
          <w:rFonts w:hint="eastAsia" w:ascii="仿宋" w:hAnsi="仿宋" w:eastAsia="仿宋" w:cs="仿宋"/>
          <w:color w:val="auto"/>
          <w:sz w:val="32"/>
          <w:szCs w:val="32"/>
          <w:u w:val="none"/>
          <w:lang w:val="en-US" w:eastAsia="zh-CN"/>
        </w:rPr>
        <w:t>0</w:t>
      </w:r>
      <w:r>
        <w:rPr>
          <w:rFonts w:hint="eastAsia" w:ascii="仿宋_GB2312" w:hAnsi="仿宋" w:eastAsia="仿宋_GB2312" w:cs="仿宋"/>
          <w:color w:val="auto"/>
          <w:kern w:val="0"/>
          <w:sz w:val="32"/>
          <w:szCs w:val="32"/>
          <w:u w:val="none"/>
          <w:lang w:bidi="ar"/>
        </w:rPr>
        <w:t>家。与去年相比，机构数量减少</w:t>
      </w:r>
      <w:r>
        <w:rPr>
          <w:rFonts w:hint="eastAsia" w:ascii="仿宋" w:hAnsi="仿宋" w:eastAsia="仿宋" w:cs="仿宋"/>
          <w:color w:val="auto"/>
          <w:sz w:val="32"/>
          <w:szCs w:val="32"/>
          <w:u w:val="none"/>
          <w:lang w:val="en-US" w:eastAsia="zh-CN"/>
        </w:rPr>
        <w:t>0</w:t>
      </w:r>
      <w:r>
        <w:rPr>
          <w:rFonts w:hint="eastAsia" w:ascii="仿宋_GB2312" w:hAnsi="仿宋" w:eastAsia="仿宋_GB2312" w:cs="仿宋"/>
          <w:color w:val="auto"/>
          <w:kern w:val="0"/>
          <w:sz w:val="32"/>
          <w:szCs w:val="32"/>
          <w:u w:val="none"/>
          <w:lang w:bidi="ar"/>
        </w:rPr>
        <w:t>家，原因为</w:t>
      </w:r>
      <w:r>
        <w:rPr>
          <w:rFonts w:hint="eastAsia" w:ascii="仿宋_GB2312" w:hAnsi="仿宋" w:eastAsia="仿宋_GB2312" w:cs="仿宋"/>
          <w:color w:val="auto"/>
          <w:kern w:val="0"/>
          <w:sz w:val="32"/>
          <w:szCs w:val="32"/>
          <w:u w:val="none"/>
          <w:lang w:val="en-US" w:eastAsia="zh-CN" w:bidi="ar"/>
        </w:rPr>
        <w:t>与上年一致</w:t>
      </w:r>
      <w:r>
        <w:rPr>
          <w:rFonts w:hint="eastAsia" w:ascii="仿宋_GB2312" w:hAnsi="仿宋" w:eastAsia="仿宋_GB2312" w:cs="仿宋"/>
          <w:color w:val="auto"/>
          <w:kern w:val="0"/>
          <w:sz w:val="32"/>
          <w:szCs w:val="32"/>
          <w:lang w:bidi="ar"/>
        </w:rPr>
        <w:t>。</w:t>
      </w:r>
    </w:p>
    <w:p w14:paraId="127FDFB3">
      <w:pPr>
        <w:widowControl/>
        <w:spacing w:line="600" w:lineRule="exact"/>
        <w:ind w:firstLine="640" w:firstLineChars="200"/>
        <w:jc w:val="left"/>
        <w:rPr>
          <w:rFonts w:hint="eastAsia" w:ascii="楷体_GB2312" w:eastAsia="楷体_GB2312"/>
          <w:color w:val="auto"/>
          <w:sz w:val="32"/>
          <w:szCs w:val="32"/>
        </w:rPr>
      </w:pPr>
      <w:r>
        <w:rPr>
          <w:rFonts w:hint="eastAsia" w:ascii="楷体_GB2312" w:hAnsi="仿宋" w:eastAsia="楷体_GB2312" w:cs="仿宋"/>
          <w:bCs/>
          <w:color w:val="auto"/>
          <w:kern w:val="0"/>
          <w:sz w:val="32"/>
          <w:szCs w:val="32"/>
          <w:lang w:bidi="ar"/>
        </w:rPr>
        <w:t>（二）局属单位设置</w:t>
      </w:r>
    </w:p>
    <w:p w14:paraId="10AEF562">
      <w:pPr>
        <w:pStyle w:val="2"/>
        <w:rPr>
          <w:rFonts w:hint="eastAsia"/>
        </w:rPr>
      </w:pPr>
      <w:r>
        <w:rPr>
          <w:rFonts w:hint="eastAsia" w:ascii="仿宋_GB2312" w:hAnsi="楷体_GB2312" w:eastAsia="仿宋_GB2312" w:cs="楷体_GB2312"/>
          <w:color w:val="auto"/>
          <w:sz w:val="32"/>
          <w:szCs w:val="32"/>
        </w:rPr>
        <w:t>纳入本单位</w:t>
      </w:r>
      <w:r>
        <w:rPr>
          <w:rFonts w:hint="eastAsia" w:ascii="仿宋_GB2312" w:hAnsi="楷体_GB2312" w:eastAsia="仿宋_GB2312" w:cs="楷体_GB2312"/>
          <w:color w:val="auto"/>
          <w:sz w:val="32"/>
          <w:szCs w:val="32"/>
          <w:lang w:val="en-US" w:eastAsia="zh-CN"/>
        </w:rPr>
        <w:t>2026</w:t>
      </w:r>
      <w:r>
        <w:rPr>
          <w:rFonts w:hint="eastAsia" w:ascii="仿宋_GB2312" w:hAnsi="楷体_GB2312" w:eastAsia="仿宋_GB2312" w:cs="楷体_GB2312"/>
          <w:color w:val="auto"/>
          <w:sz w:val="32"/>
          <w:szCs w:val="32"/>
          <w:lang w:eastAsia="zh-CN"/>
        </w:rPr>
        <w:t>年</w:t>
      </w:r>
      <w:r>
        <w:rPr>
          <w:rFonts w:hint="eastAsia" w:ascii="仿宋_GB2312" w:hAnsi="楷体_GB2312" w:eastAsia="仿宋_GB2312" w:cs="楷体_GB2312"/>
          <w:color w:val="auto"/>
          <w:sz w:val="32"/>
          <w:szCs w:val="32"/>
        </w:rPr>
        <w:t>部门预算编制范围的单位情况如下：</w:t>
      </w:r>
    </w:p>
    <w:p w14:paraId="7F5E4132">
      <w:pPr>
        <w:widowControl/>
        <w:spacing w:line="600" w:lineRule="exact"/>
        <w:jc w:val="left"/>
        <w:rPr>
          <w:rFonts w:ascii="仿宋_GB2312" w:hAnsi="仿宋_GB2312" w:eastAsia="仿宋_GB2312" w:cs="仿宋_GB2312"/>
          <w:b/>
          <w:bCs/>
          <w:sz w:val="32"/>
          <w:szCs w:val="32"/>
          <w:highlight w:val="none"/>
        </w:rPr>
      </w:pPr>
    </w:p>
    <w:tbl>
      <w:tblPr>
        <w:tblStyle w:val="8"/>
        <w:tblW w:w="9314" w:type="dxa"/>
        <w:tblInd w:w="48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03"/>
        <w:gridCol w:w="3780"/>
        <w:gridCol w:w="3740"/>
      </w:tblGrid>
      <w:tr w14:paraId="193EA0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atLeast"/>
        </w:trPr>
        <w:tc>
          <w:tcPr>
            <w:tcW w:w="1203" w:type="dxa"/>
          </w:tcPr>
          <w:p w14:paraId="6D26588A">
            <w:pPr>
              <w:pStyle w:val="11"/>
              <w:spacing w:before="0" w:after="0" w:line="600" w:lineRule="exact"/>
              <w:contextualSpacing/>
              <w:jc w:val="center"/>
              <w:rPr>
                <w:b/>
                <w:sz w:val="32"/>
              </w:rPr>
            </w:pPr>
            <w:r>
              <w:rPr>
                <w:b/>
                <w:w w:val="99"/>
                <w:sz w:val="32"/>
              </w:rPr>
              <w:t>序号</w:t>
            </w:r>
          </w:p>
        </w:tc>
        <w:tc>
          <w:tcPr>
            <w:tcW w:w="3780" w:type="dxa"/>
          </w:tcPr>
          <w:p w14:paraId="731F9327">
            <w:pPr>
              <w:pStyle w:val="11"/>
              <w:spacing w:before="0" w:after="0" w:line="600" w:lineRule="exact"/>
              <w:ind w:firstLine="643" w:firstLineChars="200"/>
              <w:contextualSpacing/>
              <w:rPr>
                <w:b/>
                <w:sz w:val="32"/>
              </w:rPr>
            </w:pPr>
            <w:r>
              <w:rPr>
                <w:b/>
                <w:sz w:val="32"/>
              </w:rPr>
              <w:t>单位名称</w:t>
            </w:r>
          </w:p>
        </w:tc>
        <w:tc>
          <w:tcPr>
            <w:tcW w:w="3740" w:type="dxa"/>
          </w:tcPr>
          <w:p w14:paraId="1D5D2419">
            <w:pPr>
              <w:pStyle w:val="11"/>
              <w:spacing w:before="0" w:after="0" w:line="600" w:lineRule="exact"/>
              <w:contextualSpacing/>
              <w:jc w:val="center"/>
              <w:rPr>
                <w:b/>
                <w:sz w:val="32"/>
              </w:rPr>
            </w:pPr>
            <w:r>
              <w:rPr>
                <w:b/>
                <w:sz w:val="32"/>
              </w:rPr>
              <w:t>单位性质</w:t>
            </w:r>
          </w:p>
        </w:tc>
      </w:tr>
      <w:tr w14:paraId="4E0519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203" w:type="dxa"/>
          </w:tcPr>
          <w:p w14:paraId="1299C123">
            <w:pPr>
              <w:pStyle w:val="11"/>
              <w:spacing w:before="0" w:after="0" w:line="600" w:lineRule="exact"/>
              <w:contextualSpacing/>
              <w:jc w:val="center"/>
              <w:rPr>
                <w:rFonts w:ascii="Times New Roman"/>
                <w:sz w:val="21"/>
                <w:szCs w:val="21"/>
              </w:rPr>
            </w:pPr>
            <w:r>
              <w:rPr>
                <w:rFonts w:hint="eastAsia" w:ascii="Times New Roman"/>
                <w:sz w:val="21"/>
                <w:szCs w:val="21"/>
              </w:rPr>
              <w:t>1</w:t>
            </w:r>
          </w:p>
        </w:tc>
        <w:tc>
          <w:tcPr>
            <w:tcW w:w="3780" w:type="dxa"/>
          </w:tcPr>
          <w:p w14:paraId="2F93108A">
            <w:pPr>
              <w:pStyle w:val="11"/>
              <w:spacing w:before="0" w:after="0" w:line="600" w:lineRule="exact"/>
              <w:contextualSpacing/>
              <w:rPr>
                <w:rFonts w:hint="eastAsia" w:eastAsia="仿宋"/>
                <w:sz w:val="21"/>
                <w:szCs w:val="21"/>
                <w:lang w:val="en-US" w:eastAsia="zh-CN"/>
              </w:rPr>
            </w:pPr>
            <w:r>
              <w:rPr>
                <w:rFonts w:hint="eastAsia"/>
                <w:sz w:val="21"/>
                <w:szCs w:val="21"/>
                <w:lang w:val="en-US"/>
              </w:rPr>
              <w:t>乌海市特殊教育</w:t>
            </w:r>
            <w:r>
              <w:rPr>
                <w:rFonts w:hint="eastAsia"/>
                <w:sz w:val="21"/>
                <w:szCs w:val="21"/>
                <w:lang w:val="en-US" w:eastAsia="zh-CN"/>
              </w:rPr>
              <w:t>学校</w:t>
            </w:r>
          </w:p>
        </w:tc>
        <w:tc>
          <w:tcPr>
            <w:tcW w:w="3740" w:type="dxa"/>
          </w:tcPr>
          <w:p w14:paraId="37EE5A25">
            <w:pPr>
              <w:pStyle w:val="11"/>
              <w:spacing w:before="0" w:after="0" w:line="600" w:lineRule="exact"/>
              <w:ind w:firstLine="420" w:firstLineChars="200"/>
              <w:contextualSpacing/>
              <w:rPr>
                <w:sz w:val="21"/>
                <w:szCs w:val="21"/>
                <w:lang w:val="en-US"/>
              </w:rPr>
            </w:pPr>
            <w:r>
              <w:rPr>
                <w:rFonts w:hint="eastAsia"/>
                <w:sz w:val="21"/>
                <w:szCs w:val="21"/>
                <w:lang w:val="en-US"/>
              </w:rPr>
              <w:t>公益一类事业单位</w:t>
            </w:r>
          </w:p>
        </w:tc>
      </w:tr>
    </w:tbl>
    <w:p w14:paraId="1ABF001A">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仿宋" w:eastAsia="楷体_GB2312" w:cs="仿宋"/>
          <w:bCs/>
          <w:color w:val="auto"/>
          <w:kern w:val="0"/>
          <w:sz w:val="32"/>
          <w:szCs w:val="32"/>
          <w:lang w:bidi="ar"/>
        </w:rPr>
      </w:pPr>
      <w:r>
        <w:rPr>
          <w:rFonts w:hint="eastAsia" w:ascii="楷体_GB2312" w:hAnsi="仿宋" w:eastAsia="楷体_GB2312" w:cs="仿宋"/>
          <w:bCs/>
          <w:color w:val="auto"/>
          <w:kern w:val="0"/>
          <w:sz w:val="32"/>
          <w:szCs w:val="32"/>
          <w:lang w:bidi="ar"/>
        </w:rPr>
        <w:t>（三）乌海市特殊教育学校所属单位机构及人员基本情况</w:t>
      </w:r>
    </w:p>
    <w:p w14:paraId="0D066366">
      <w:pPr>
        <w:numPr>
          <w:ilvl w:val="0"/>
          <w:numId w:val="0"/>
        </w:numPr>
        <w:spacing w:line="600" w:lineRule="exact"/>
        <w:ind w:left="17" w:leftChars="8" w:firstLine="624" w:firstLineChars="195"/>
        <w:outlineLvl w:val="2"/>
        <w:rPr>
          <w:highlight w:val="none"/>
        </w:rPr>
      </w:pPr>
      <w:r>
        <w:rPr>
          <w:rFonts w:hint="eastAsia" w:ascii="仿宋_GB2312" w:hAnsi="楷体_GB2312" w:eastAsia="仿宋_GB2312" w:cs="楷体_GB2312"/>
          <w:color w:val="auto"/>
          <w:sz w:val="32"/>
          <w:szCs w:val="32"/>
          <w:highlight w:val="none"/>
        </w:rPr>
        <w:t>2.乌海市特殊教育学校。非独立核算公益一类事业单位，核定全额拨款事业单位编制</w:t>
      </w:r>
      <w:r>
        <w:rPr>
          <w:rFonts w:hint="eastAsia" w:ascii="仿宋_GB2312" w:hAnsi="楷体_GB2312" w:eastAsia="仿宋_GB2312" w:cs="楷体_GB2312"/>
          <w:color w:val="auto"/>
          <w:sz w:val="32"/>
          <w:szCs w:val="32"/>
          <w:highlight w:val="none"/>
          <w:lang w:val="en-US" w:eastAsia="zh-CN"/>
        </w:rPr>
        <w:t>70</w:t>
      </w:r>
      <w:r>
        <w:rPr>
          <w:rFonts w:hint="eastAsia" w:ascii="仿宋_GB2312" w:hAnsi="楷体_GB2312" w:eastAsia="仿宋_GB2312" w:cs="楷体_GB2312"/>
          <w:color w:val="auto"/>
          <w:sz w:val="32"/>
          <w:szCs w:val="32"/>
          <w:highlight w:val="none"/>
        </w:rPr>
        <w:t>个，实有人员</w:t>
      </w:r>
      <w:r>
        <w:rPr>
          <w:rFonts w:hint="eastAsia" w:ascii="仿宋_GB2312" w:hAnsi="楷体_GB2312" w:eastAsia="仿宋_GB2312" w:cs="楷体_GB2312"/>
          <w:color w:val="auto"/>
          <w:sz w:val="32"/>
          <w:szCs w:val="32"/>
          <w:highlight w:val="none"/>
          <w:lang w:val="en-US" w:eastAsia="zh-CN"/>
        </w:rPr>
        <w:t>60</w:t>
      </w:r>
      <w:r>
        <w:rPr>
          <w:rFonts w:hint="eastAsia" w:ascii="仿宋_GB2312" w:hAnsi="楷体_GB2312" w:eastAsia="仿宋_GB2312" w:cs="楷体_GB2312"/>
          <w:color w:val="auto"/>
          <w:sz w:val="32"/>
          <w:szCs w:val="32"/>
          <w:highlight w:val="none"/>
        </w:rPr>
        <w:t>人，比上年增加</w:t>
      </w:r>
      <w:r>
        <w:rPr>
          <w:rFonts w:hint="eastAsia" w:ascii="仿宋_GB2312" w:hAnsi="楷体_GB2312" w:eastAsia="仿宋_GB2312" w:cs="楷体_GB2312"/>
          <w:color w:val="auto"/>
          <w:sz w:val="32"/>
          <w:szCs w:val="32"/>
          <w:highlight w:val="none"/>
          <w:lang w:val="en-US" w:eastAsia="zh-CN"/>
        </w:rPr>
        <w:t>2</w:t>
      </w:r>
      <w:r>
        <w:rPr>
          <w:rFonts w:hint="eastAsia" w:ascii="仿宋_GB2312" w:hAnsi="楷体_GB2312" w:eastAsia="仿宋_GB2312" w:cs="楷体_GB2312"/>
          <w:color w:val="auto"/>
          <w:sz w:val="32"/>
          <w:szCs w:val="32"/>
          <w:highlight w:val="none"/>
        </w:rPr>
        <w:t>人，增加的原因为</w:t>
      </w:r>
      <w:r>
        <w:rPr>
          <w:rFonts w:hint="eastAsia" w:ascii="仿宋" w:hAnsi="仿宋" w:eastAsia="仿宋" w:cs="仿宋"/>
          <w:color w:val="auto"/>
          <w:sz w:val="32"/>
          <w:szCs w:val="32"/>
          <w:highlight w:val="none"/>
          <w:lang w:val="en-US" w:eastAsia="zh-CN"/>
        </w:rPr>
        <w:t>招聘2名新教师</w:t>
      </w:r>
      <w:r>
        <w:rPr>
          <w:rFonts w:hint="eastAsia" w:ascii="仿宋_GB2312" w:hAnsi="楷体_GB2312" w:eastAsia="仿宋_GB2312" w:cs="楷体_GB2312"/>
          <w:color w:val="auto"/>
          <w:sz w:val="32"/>
          <w:szCs w:val="32"/>
          <w:highlight w:val="none"/>
        </w:rPr>
        <w:t>。离退休职工</w:t>
      </w:r>
      <w:r>
        <w:rPr>
          <w:rFonts w:hint="eastAsia" w:ascii="仿宋_GB2312" w:hAnsi="楷体_GB2312" w:eastAsia="仿宋_GB2312" w:cs="楷体_GB2312"/>
          <w:color w:val="auto"/>
          <w:sz w:val="32"/>
          <w:szCs w:val="32"/>
          <w:highlight w:val="none"/>
          <w:lang w:val="en-US" w:eastAsia="zh-CN"/>
        </w:rPr>
        <w:t>24</w:t>
      </w:r>
      <w:r>
        <w:rPr>
          <w:rFonts w:hint="eastAsia" w:ascii="仿宋_GB2312" w:hAnsi="楷体_GB2312" w:eastAsia="仿宋_GB2312" w:cs="楷体_GB2312"/>
          <w:color w:val="auto"/>
          <w:sz w:val="32"/>
          <w:szCs w:val="32"/>
          <w:highlight w:val="none"/>
        </w:rPr>
        <w:t>人，比上年增加</w:t>
      </w:r>
      <w:r>
        <w:rPr>
          <w:rFonts w:hint="eastAsia" w:ascii="仿宋_GB2312" w:hAnsi="楷体_GB2312" w:eastAsia="仿宋_GB2312" w:cs="楷体_GB2312"/>
          <w:color w:val="auto"/>
          <w:sz w:val="32"/>
          <w:szCs w:val="32"/>
          <w:highlight w:val="none"/>
          <w:lang w:val="en-US" w:eastAsia="zh-CN"/>
        </w:rPr>
        <w:t>1</w:t>
      </w:r>
      <w:r>
        <w:rPr>
          <w:rFonts w:hint="eastAsia" w:ascii="仿宋_GB2312" w:hAnsi="楷体_GB2312" w:eastAsia="仿宋_GB2312" w:cs="楷体_GB2312"/>
          <w:color w:val="auto"/>
          <w:sz w:val="32"/>
          <w:szCs w:val="32"/>
          <w:highlight w:val="none"/>
        </w:rPr>
        <w:t>人，增加原因为</w:t>
      </w:r>
      <w:r>
        <w:rPr>
          <w:rFonts w:hint="eastAsia" w:ascii="仿宋" w:hAnsi="仿宋" w:eastAsia="仿宋" w:cs="仿宋"/>
          <w:color w:val="auto"/>
          <w:sz w:val="32"/>
          <w:szCs w:val="32"/>
          <w:highlight w:val="none"/>
          <w:lang w:val="en-US" w:eastAsia="zh-CN"/>
        </w:rPr>
        <w:t>上年度退休1名教师</w:t>
      </w:r>
      <w:r>
        <w:rPr>
          <w:rFonts w:hint="eastAsia" w:ascii="仿宋_GB2312" w:hAnsi="楷体_GB2312" w:eastAsia="仿宋_GB2312" w:cs="楷体_GB2312"/>
          <w:color w:val="auto"/>
          <w:sz w:val="32"/>
          <w:szCs w:val="32"/>
          <w:highlight w:val="none"/>
        </w:rPr>
        <w:t>。</w:t>
      </w:r>
    </w:p>
    <w:p w14:paraId="031D60D1">
      <w:pPr>
        <w:numPr>
          <w:ilvl w:val="0"/>
          <w:numId w:val="0"/>
        </w:numPr>
        <w:spacing w:line="600" w:lineRule="exact"/>
        <w:ind w:left="17" w:leftChars="8" w:firstLine="624" w:firstLineChars="195"/>
        <w:outlineLvl w:val="2"/>
        <w:rPr>
          <w:rFonts w:eastAsia="黑体" w:cs="黑体"/>
          <w:sz w:val="32"/>
          <w:szCs w:val="36"/>
          <w:highlight w:val="none"/>
        </w:rPr>
      </w:pPr>
      <w:r>
        <w:rPr>
          <w:rFonts w:hint="eastAsia" w:ascii="Times New Roman" w:hAnsi="Times New Roman" w:eastAsia="黑体" w:cs="黑体"/>
          <w:kern w:val="2"/>
          <w:sz w:val="32"/>
          <w:szCs w:val="36"/>
          <w:lang w:val="en-US" w:eastAsia="zh-CN" w:bidi="ar-SA"/>
        </w:rPr>
        <w:t>三、</w:t>
      </w:r>
      <w:r>
        <w:rPr>
          <w:rFonts w:hint="eastAsia" w:eastAsia="黑体" w:cs="黑体"/>
          <w:sz w:val="32"/>
          <w:szCs w:val="36"/>
          <w:highlight w:val="none"/>
          <w:lang w:val="en-US" w:eastAsia="zh-CN"/>
        </w:rPr>
        <w:t>2026</w:t>
      </w:r>
      <w:r>
        <w:rPr>
          <w:rFonts w:hint="eastAsia" w:eastAsia="黑体" w:cs="黑体"/>
          <w:sz w:val="32"/>
          <w:szCs w:val="36"/>
          <w:highlight w:val="none"/>
        </w:rPr>
        <w:t>年度单位主要工作任务及目标</w:t>
      </w:r>
    </w:p>
    <w:p w14:paraId="21B2CDE4">
      <w:pPr>
        <w:numPr>
          <w:ilvl w:val="0"/>
          <w:numId w:val="0"/>
        </w:numPr>
        <w:spacing w:line="600" w:lineRule="exact"/>
        <w:ind w:left="17" w:leftChars="8" w:firstLine="624" w:firstLineChars="195"/>
        <w:outlineLvl w:val="2"/>
        <w:rPr>
          <w:rFonts w:hint="eastAsia" w:ascii="仿宋_GB2312" w:hAnsi="楷体_GB2312" w:eastAsia="仿宋_GB2312" w:cs="楷体_GB2312"/>
          <w:color w:val="auto"/>
          <w:sz w:val="32"/>
          <w:szCs w:val="32"/>
          <w:highlight w:val="none"/>
          <w:lang w:val="en-US" w:eastAsia="zh-CN"/>
        </w:rPr>
      </w:pPr>
      <w:r>
        <w:rPr>
          <w:rFonts w:hint="eastAsia" w:ascii="仿宋_GB2312" w:hAnsi="楷体_GB2312" w:eastAsia="仿宋_GB2312" w:cs="楷体_GB2312"/>
          <w:color w:val="auto"/>
          <w:sz w:val="32"/>
          <w:szCs w:val="32"/>
          <w:highlight w:val="none"/>
          <w:lang w:val="en-US" w:eastAsia="zh-CN"/>
        </w:rPr>
        <w:t>（一）</w:t>
      </w:r>
      <w:r>
        <w:rPr>
          <w:rFonts w:hint="eastAsia" w:ascii="仿宋_GB2312" w:hAnsi="楷体_GB2312" w:eastAsia="仿宋_GB2312" w:cs="楷体_GB2312"/>
          <w:color w:val="auto"/>
          <w:sz w:val="32"/>
          <w:szCs w:val="32"/>
          <w:highlight w:val="none"/>
        </w:rPr>
        <w:t>统筹谋划</w:t>
      </w:r>
      <w:r>
        <w:rPr>
          <w:rFonts w:hint="eastAsia" w:ascii="仿宋_GB2312" w:hAnsi="楷体_GB2312" w:eastAsia="仿宋_GB2312" w:cs="楷体_GB2312"/>
          <w:color w:val="auto"/>
          <w:sz w:val="32"/>
          <w:szCs w:val="32"/>
          <w:highlight w:val="none"/>
          <w:lang w:eastAsia="zh-CN"/>
        </w:rPr>
        <w:t>：</w:t>
      </w:r>
      <w:r>
        <w:rPr>
          <w:rFonts w:hint="eastAsia" w:ascii="仿宋_GB2312" w:hAnsi="楷体_GB2312" w:eastAsia="仿宋_GB2312" w:cs="楷体_GB2312"/>
          <w:color w:val="auto"/>
          <w:sz w:val="32"/>
          <w:szCs w:val="32"/>
          <w:highlight w:val="none"/>
        </w:rPr>
        <w:t>明确方向</w:t>
      </w:r>
      <w:r>
        <w:rPr>
          <w:rFonts w:hint="eastAsia" w:ascii="仿宋_GB2312" w:hAnsi="楷体_GB2312" w:eastAsia="仿宋_GB2312" w:cs="楷体_GB2312"/>
          <w:color w:val="auto"/>
          <w:sz w:val="32"/>
          <w:szCs w:val="32"/>
          <w:highlight w:val="none"/>
          <w:lang w:eastAsia="zh-CN"/>
        </w:rPr>
        <w:t>，</w:t>
      </w:r>
      <w:r>
        <w:rPr>
          <w:rFonts w:hint="eastAsia" w:ascii="仿宋_GB2312" w:hAnsi="楷体_GB2312" w:eastAsia="仿宋_GB2312" w:cs="楷体_GB2312"/>
          <w:color w:val="auto"/>
          <w:sz w:val="32"/>
          <w:szCs w:val="32"/>
          <w:highlight w:val="none"/>
          <w:lang w:val="en-US" w:eastAsia="zh-CN"/>
        </w:rPr>
        <w:t>开启特殊教育新篇章</w:t>
      </w:r>
    </w:p>
    <w:p w14:paraId="540308BB">
      <w:pPr>
        <w:numPr>
          <w:ilvl w:val="0"/>
          <w:numId w:val="0"/>
        </w:numPr>
        <w:spacing w:line="600" w:lineRule="exact"/>
        <w:ind w:left="17" w:leftChars="8" w:firstLine="624" w:firstLineChars="195"/>
        <w:outlineLvl w:val="2"/>
        <w:rPr>
          <w:rFonts w:hint="eastAsia" w:ascii="仿宋_GB2312" w:hAnsi="楷体_GB2312" w:eastAsia="仿宋_GB2312" w:cs="楷体_GB2312"/>
          <w:color w:val="auto"/>
          <w:sz w:val="32"/>
          <w:szCs w:val="32"/>
          <w:highlight w:val="none"/>
          <w:lang w:val="en-US" w:eastAsia="zh-CN"/>
        </w:rPr>
      </w:pPr>
      <w:r>
        <w:rPr>
          <w:rFonts w:hint="eastAsia" w:ascii="仿宋_GB2312" w:hAnsi="楷体_GB2312" w:eastAsia="仿宋_GB2312" w:cs="楷体_GB2312"/>
          <w:color w:val="auto"/>
          <w:sz w:val="32"/>
          <w:szCs w:val="32"/>
          <w:highlight w:val="none"/>
          <w:lang w:val="en-US" w:eastAsia="zh-CN"/>
        </w:rPr>
        <w:t>学校</w:t>
      </w:r>
      <w:r>
        <w:rPr>
          <w:rFonts w:hint="eastAsia" w:ascii="仿宋_GB2312" w:hAnsi="楷体_GB2312" w:eastAsia="仿宋_GB2312" w:cs="楷体_GB2312"/>
          <w:color w:val="auto"/>
          <w:sz w:val="32"/>
          <w:szCs w:val="32"/>
          <w:highlight w:val="none"/>
        </w:rPr>
        <w:t>科学研判形势，凝练发展主线紧扣“提质增效、特色发展”，学校领导班子在暑期开展多层级、多维度调研，全面分析上学期各项工作成效与短板，研究制定新学期工作思路，明确“夯实常规、创新驱动、精准管理、协同发展”的重点路径，聚焦“打造优质课堂、建设高效团队、优化育人环境”等关键领域，进一步增强工作的系统性、前瞻性和针对性。强化目标导向，细化责任落实为保障各项任务精准落地，学校制定了涵盖教学、德育、科研、安全、后勤等方面的综合计划，明确时间节点、工作标准，推动任务具体化、责任清单化、流程标准化</w:t>
      </w:r>
      <w:r>
        <w:rPr>
          <w:rFonts w:hint="eastAsia" w:ascii="仿宋_GB2312" w:hAnsi="楷体_GB2312" w:eastAsia="仿宋_GB2312" w:cs="楷体_GB2312"/>
          <w:color w:val="auto"/>
          <w:sz w:val="32"/>
          <w:szCs w:val="32"/>
          <w:highlight w:val="none"/>
          <w:lang w:eastAsia="zh-CN"/>
        </w:rPr>
        <w:t>，</w:t>
      </w:r>
      <w:r>
        <w:rPr>
          <w:rFonts w:hint="eastAsia" w:ascii="仿宋_GB2312" w:hAnsi="楷体_GB2312" w:eastAsia="仿宋_GB2312" w:cs="楷体_GB2312"/>
          <w:color w:val="auto"/>
          <w:sz w:val="32"/>
          <w:szCs w:val="32"/>
          <w:highlight w:val="none"/>
        </w:rPr>
        <w:t>确保事事有人管、件件有着落、项项有回音。优化制度体系，夯实管理基础针对教学管理、师德师风、学生行为规范、家校协同、安全管理等方面，形成以目标考核为牵引、制度执行为保障、过程评价为支撑的管理体系，确保有章可循、有据可依，有效提升学校治理效能。</w:t>
      </w:r>
    </w:p>
    <w:p w14:paraId="04719791">
      <w:pPr>
        <w:numPr>
          <w:ilvl w:val="0"/>
          <w:numId w:val="0"/>
        </w:numPr>
        <w:spacing w:line="600" w:lineRule="exact"/>
        <w:ind w:left="17" w:leftChars="8" w:firstLine="624" w:firstLineChars="195"/>
        <w:outlineLvl w:val="2"/>
        <w:rPr>
          <w:rFonts w:hint="eastAsia" w:ascii="仿宋_GB2312" w:hAnsi="楷体_GB2312" w:eastAsia="仿宋_GB2312" w:cs="楷体_GB2312"/>
          <w:color w:val="auto"/>
          <w:sz w:val="32"/>
          <w:szCs w:val="32"/>
          <w:highlight w:val="none"/>
          <w:lang w:val="en-US" w:eastAsia="zh-CN"/>
        </w:rPr>
      </w:pPr>
      <w:r>
        <w:rPr>
          <w:rFonts w:hint="eastAsia" w:ascii="仿宋_GB2312" w:hAnsi="楷体_GB2312" w:eastAsia="仿宋_GB2312" w:cs="楷体_GB2312"/>
          <w:color w:val="auto"/>
          <w:sz w:val="32"/>
          <w:szCs w:val="32"/>
          <w:highlight w:val="none"/>
          <w:lang w:val="en-US" w:eastAsia="zh-CN"/>
        </w:rPr>
        <w:t>（二）教学规划：科学筹备，铺就特殊学生成长路</w:t>
      </w:r>
    </w:p>
    <w:p w14:paraId="5C4759D2">
      <w:pPr>
        <w:numPr>
          <w:ilvl w:val="0"/>
          <w:numId w:val="0"/>
        </w:numPr>
        <w:spacing w:line="600" w:lineRule="exact"/>
        <w:ind w:left="17" w:leftChars="8" w:firstLine="624" w:firstLineChars="195"/>
        <w:outlineLvl w:val="2"/>
        <w:rPr>
          <w:rFonts w:hint="default" w:ascii="仿宋_GB2312" w:hAnsi="楷体_GB2312" w:eastAsia="仿宋_GB2312" w:cs="楷体_GB2312"/>
          <w:color w:val="auto"/>
          <w:sz w:val="32"/>
          <w:szCs w:val="32"/>
          <w:highlight w:val="none"/>
          <w:lang w:val="en-US" w:eastAsia="zh-CN"/>
        </w:rPr>
      </w:pPr>
      <w:r>
        <w:rPr>
          <w:rFonts w:hint="eastAsia" w:ascii="仿宋_GB2312" w:hAnsi="楷体_GB2312" w:eastAsia="仿宋_GB2312" w:cs="楷体_GB2312"/>
          <w:color w:val="auto"/>
          <w:sz w:val="32"/>
          <w:szCs w:val="32"/>
          <w:highlight w:val="none"/>
          <w:lang w:val="en-US" w:eastAsia="zh-CN"/>
        </w:rPr>
        <w:t>为</w:t>
      </w:r>
      <w:r>
        <w:rPr>
          <w:rFonts w:hint="default" w:ascii="仿宋_GB2312" w:hAnsi="楷体_GB2312" w:eastAsia="仿宋_GB2312" w:cs="楷体_GB2312"/>
          <w:color w:val="auto"/>
          <w:sz w:val="32"/>
          <w:szCs w:val="32"/>
          <w:highlight w:val="none"/>
          <w:lang w:val="en-US" w:eastAsia="zh-CN"/>
        </w:rPr>
        <w:t>保障每位特殊儿童享有平等的受教育机会</w:t>
      </w:r>
      <w:r>
        <w:rPr>
          <w:rFonts w:hint="eastAsia" w:ascii="仿宋_GB2312" w:hAnsi="楷体_GB2312" w:eastAsia="仿宋_GB2312" w:cs="楷体_GB2312"/>
          <w:color w:val="auto"/>
          <w:sz w:val="32"/>
          <w:szCs w:val="32"/>
          <w:highlight w:val="none"/>
          <w:lang w:val="en-US" w:eastAsia="zh-CN"/>
        </w:rPr>
        <w:t>，</w:t>
      </w:r>
      <w:r>
        <w:rPr>
          <w:rFonts w:hint="default" w:ascii="仿宋_GB2312" w:hAnsi="楷体_GB2312" w:eastAsia="仿宋_GB2312" w:cs="楷体_GB2312"/>
          <w:color w:val="auto"/>
          <w:sz w:val="32"/>
          <w:szCs w:val="32"/>
          <w:highlight w:val="none"/>
          <w:lang w:val="en-US" w:eastAsia="zh-CN"/>
        </w:rPr>
        <w:t>做好202</w:t>
      </w:r>
      <w:r>
        <w:rPr>
          <w:rFonts w:hint="eastAsia" w:ascii="仿宋_GB2312" w:hAnsi="楷体_GB2312" w:eastAsia="仿宋_GB2312" w:cs="楷体_GB2312"/>
          <w:color w:val="auto"/>
          <w:sz w:val="32"/>
          <w:szCs w:val="32"/>
          <w:highlight w:val="none"/>
          <w:lang w:val="en-US" w:eastAsia="zh-CN"/>
        </w:rPr>
        <w:t>6</w:t>
      </w:r>
      <w:r>
        <w:rPr>
          <w:rFonts w:hint="default" w:ascii="仿宋_GB2312" w:hAnsi="楷体_GB2312" w:eastAsia="仿宋_GB2312" w:cs="楷体_GB2312"/>
          <w:color w:val="auto"/>
          <w:sz w:val="32"/>
          <w:szCs w:val="32"/>
          <w:highlight w:val="none"/>
          <w:lang w:val="en-US" w:eastAsia="zh-CN"/>
        </w:rPr>
        <w:t>级蓓蕾班、一年级、职高一年级新生的招生工作。及时发布招生简章，公开招生政策、招生计划、招生范围等信息，采取线上报名与现场确认相结合的方式，安排教师进行电话沟通、入户评估等多个环节，综合评定学生实际能力，选择适合的安置方式</w:t>
      </w:r>
      <w:r>
        <w:rPr>
          <w:rFonts w:hint="eastAsia" w:ascii="仿宋_GB2312" w:hAnsi="楷体_GB2312" w:eastAsia="仿宋_GB2312" w:cs="楷体_GB2312"/>
          <w:color w:val="auto"/>
          <w:sz w:val="32"/>
          <w:szCs w:val="32"/>
          <w:highlight w:val="none"/>
          <w:lang w:val="en-US" w:eastAsia="zh-CN"/>
        </w:rPr>
        <w:t>并</w:t>
      </w:r>
      <w:r>
        <w:rPr>
          <w:rFonts w:hint="default" w:ascii="仿宋_GB2312" w:hAnsi="楷体_GB2312" w:eastAsia="仿宋_GB2312" w:cs="楷体_GB2312"/>
          <w:color w:val="auto"/>
          <w:sz w:val="32"/>
          <w:szCs w:val="32"/>
          <w:highlight w:val="none"/>
          <w:lang w:val="en-US" w:eastAsia="zh-CN"/>
        </w:rPr>
        <w:t>确定录取名单</w:t>
      </w:r>
      <w:r>
        <w:rPr>
          <w:rFonts w:hint="eastAsia" w:ascii="仿宋_GB2312" w:hAnsi="楷体_GB2312" w:eastAsia="仿宋_GB2312" w:cs="楷体_GB2312"/>
          <w:color w:val="auto"/>
          <w:sz w:val="32"/>
          <w:szCs w:val="32"/>
          <w:highlight w:val="none"/>
          <w:lang w:val="en-US" w:eastAsia="zh-CN"/>
        </w:rPr>
        <w:t>。</w:t>
      </w:r>
      <w:r>
        <w:rPr>
          <w:rFonts w:hint="default" w:ascii="仿宋_GB2312" w:hAnsi="楷体_GB2312" w:eastAsia="仿宋_GB2312" w:cs="楷体_GB2312"/>
          <w:color w:val="auto"/>
          <w:sz w:val="32"/>
          <w:szCs w:val="32"/>
          <w:highlight w:val="none"/>
          <w:lang w:val="en-US" w:eastAsia="zh-CN"/>
        </w:rPr>
        <w:t>根据教师的专业背景、教学能力和本学期教学任务需求，合理调整教师的课务分工。充分考虑教师的个人意愿和发展需求，做到人尽其才，提高教师的工作积极性和教学质量。按照培智学校课程设置标准，开足开齐各类课程。遵循科学合理的原则进行课程表编排，</w:t>
      </w:r>
      <w:r>
        <w:rPr>
          <w:rFonts w:hint="eastAsia" w:ascii="仿宋_GB2312" w:hAnsi="楷体_GB2312" w:eastAsia="仿宋_GB2312" w:cs="楷体_GB2312"/>
          <w:color w:val="auto"/>
          <w:sz w:val="32"/>
          <w:szCs w:val="32"/>
          <w:highlight w:val="none"/>
          <w:lang w:val="en-US" w:eastAsia="zh-CN"/>
        </w:rPr>
        <w:t>在</w:t>
      </w:r>
      <w:r>
        <w:rPr>
          <w:rFonts w:hint="default" w:ascii="仿宋_GB2312" w:hAnsi="楷体_GB2312" w:eastAsia="仿宋_GB2312" w:cs="楷体_GB2312"/>
          <w:color w:val="auto"/>
          <w:sz w:val="32"/>
          <w:szCs w:val="32"/>
          <w:highlight w:val="none"/>
          <w:lang w:val="en-US" w:eastAsia="zh-CN"/>
        </w:rPr>
        <w:t>课程编排筹备中，</w:t>
      </w:r>
      <w:r>
        <w:rPr>
          <w:rFonts w:hint="eastAsia" w:ascii="仿宋_GB2312" w:hAnsi="楷体_GB2312" w:eastAsia="仿宋_GB2312" w:cs="楷体_GB2312"/>
          <w:color w:val="auto"/>
          <w:sz w:val="32"/>
          <w:szCs w:val="32"/>
          <w:highlight w:val="none"/>
          <w:lang w:val="en-US" w:eastAsia="zh-CN"/>
        </w:rPr>
        <w:t>学校</w:t>
      </w:r>
      <w:r>
        <w:rPr>
          <w:rFonts w:hint="default" w:ascii="仿宋_GB2312" w:hAnsi="楷体_GB2312" w:eastAsia="仿宋_GB2312" w:cs="楷体_GB2312"/>
          <w:color w:val="auto"/>
          <w:sz w:val="32"/>
          <w:szCs w:val="32"/>
          <w:highlight w:val="none"/>
          <w:lang w:val="en-US" w:eastAsia="zh-CN"/>
        </w:rPr>
        <w:t>摒弃传统单一模式，以“多元融合、个性赋能、生活导向”为核心理念，跨学科融合</w:t>
      </w:r>
      <w:r>
        <w:rPr>
          <w:rFonts w:hint="eastAsia" w:ascii="仿宋_GB2312" w:hAnsi="楷体_GB2312" w:eastAsia="仿宋_GB2312" w:cs="楷体_GB2312"/>
          <w:color w:val="auto"/>
          <w:sz w:val="32"/>
          <w:szCs w:val="32"/>
          <w:highlight w:val="none"/>
          <w:lang w:val="en-US" w:eastAsia="zh-CN"/>
        </w:rPr>
        <w:t>，</w:t>
      </w:r>
      <w:r>
        <w:rPr>
          <w:rFonts w:hint="default" w:ascii="仿宋_GB2312" w:hAnsi="楷体_GB2312" w:eastAsia="仿宋_GB2312" w:cs="楷体_GB2312"/>
          <w:color w:val="auto"/>
          <w:sz w:val="32"/>
          <w:szCs w:val="32"/>
          <w:highlight w:val="none"/>
          <w:lang w:val="en-US" w:eastAsia="zh-CN"/>
        </w:rPr>
        <w:t>打破知识壁垒，激发综合潜能</w:t>
      </w:r>
      <w:r>
        <w:rPr>
          <w:rFonts w:hint="eastAsia" w:ascii="仿宋_GB2312" w:hAnsi="楷体_GB2312" w:eastAsia="仿宋_GB2312" w:cs="楷体_GB2312"/>
          <w:color w:val="auto"/>
          <w:sz w:val="32"/>
          <w:szCs w:val="32"/>
          <w:highlight w:val="none"/>
          <w:lang w:val="en-US" w:eastAsia="zh-CN"/>
        </w:rPr>
        <w:t>，</w:t>
      </w:r>
      <w:r>
        <w:rPr>
          <w:rFonts w:hint="default" w:ascii="仿宋_GB2312" w:hAnsi="楷体_GB2312" w:eastAsia="仿宋_GB2312" w:cs="楷体_GB2312"/>
          <w:color w:val="auto"/>
          <w:sz w:val="32"/>
          <w:szCs w:val="32"/>
          <w:highlight w:val="none"/>
          <w:lang w:val="en-US" w:eastAsia="zh-CN"/>
        </w:rPr>
        <w:t>将多个学科知识有机融合于同一课程主题中</w:t>
      </w:r>
      <w:r>
        <w:rPr>
          <w:rFonts w:hint="eastAsia" w:ascii="仿宋_GB2312" w:hAnsi="楷体_GB2312" w:eastAsia="仿宋_GB2312" w:cs="楷体_GB2312"/>
          <w:color w:val="auto"/>
          <w:sz w:val="32"/>
          <w:szCs w:val="32"/>
          <w:highlight w:val="none"/>
          <w:lang w:val="en-US" w:eastAsia="zh-CN"/>
        </w:rPr>
        <w:t>，</w:t>
      </w:r>
      <w:r>
        <w:rPr>
          <w:rFonts w:hint="default" w:ascii="仿宋_GB2312" w:hAnsi="楷体_GB2312" w:eastAsia="仿宋_GB2312" w:cs="楷体_GB2312"/>
          <w:color w:val="auto"/>
          <w:sz w:val="32"/>
          <w:szCs w:val="32"/>
          <w:highlight w:val="none"/>
          <w:lang w:val="en-US" w:eastAsia="zh-CN"/>
        </w:rPr>
        <w:t>为特殊学生量身打造极具特色与实效的课程体系，助力他们在新学期绽放独特光彩。开学前，</w:t>
      </w:r>
      <w:r>
        <w:rPr>
          <w:rFonts w:hint="eastAsia" w:ascii="仿宋_GB2312" w:hAnsi="楷体_GB2312" w:eastAsia="仿宋_GB2312" w:cs="楷体_GB2312"/>
          <w:color w:val="auto"/>
          <w:sz w:val="32"/>
          <w:szCs w:val="32"/>
          <w:highlight w:val="none"/>
          <w:lang w:val="en-US" w:eastAsia="zh-CN"/>
        </w:rPr>
        <w:t>精心挑选教材，通过精准适配，打造最适宜、最有效的学习资源，并</w:t>
      </w:r>
      <w:r>
        <w:rPr>
          <w:rFonts w:hint="default" w:ascii="仿宋_GB2312" w:hAnsi="楷体_GB2312" w:eastAsia="仿宋_GB2312" w:cs="楷体_GB2312"/>
          <w:color w:val="auto"/>
          <w:sz w:val="32"/>
          <w:szCs w:val="32"/>
          <w:highlight w:val="none"/>
          <w:lang w:val="en-US" w:eastAsia="zh-CN"/>
        </w:rPr>
        <w:t>对本学期订购的教材进行全面整理和核对。学校高度重视学生心理健康问题，提前梳理全校学生过往心理档案，重点标记有情绪波动、特殊心理需求的学生，建立“重点关注名单，针对性的提供专业心理辅导，化解学生焦虑情绪，并在开学后一周内完成全员心理筛查，联合心理教师、班主任成立“心理支持小组”，明确针对焦虑、抵触入学等问题的干预流程</w:t>
      </w:r>
      <w:r>
        <w:rPr>
          <w:rFonts w:hint="eastAsia" w:ascii="仿宋_GB2312" w:hAnsi="楷体_GB2312" w:eastAsia="仿宋_GB2312" w:cs="楷体_GB2312"/>
          <w:color w:val="auto"/>
          <w:sz w:val="32"/>
          <w:szCs w:val="32"/>
          <w:highlight w:val="none"/>
          <w:lang w:val="en-US" w:eastAsia="zh-CN"/>
        </w:rPr>
        <w:t>，帮助学生及时“收心”，从容面对新学期。</w:t>
      </w:r>
    </w:p>
    <w:p w14:paraId="247D7EEC">
      <w:pPr>
        <w:numPr>
          <w:ilvl w:val="0"/>
          <w:numId w:val="0"/>
        </w:numPr>
        <w:spacing w:line="600" w:lineRule="exact"/>
        <w:ind w:left="17" w:leftChars="8" w:firstLine="624" w:firstLineChars="195"/>
        <w:outlineLvl w:val="2"/>
        <w:rPr>
          <w:rFonts w:hint="eastAsia" w:ascii="仿宋_GB2312" w:hAnsi="楷体_GB2312" w:eastAsia="仿宋_GB2312" w:cs="楷体_GB2312"/>
          <w:color w:val="auto"/>
          <w:sz w:val="32"/>
          <w:szCs w:val="32"/>
          <w:highlight w:val="none"/>
          <w:lang w:val="en-US" w:eastAsia="zh-CN"/>
        </w:rPr>
      </w:pPr>
      <w:r>
        <w:rPr>
          <w:rFonts w:hint="eastAsia" w:ascii="仿宋_GB2312" w:hAnsi="楷体_GB2312" w:eastAsia="仿宋_GB2312" w:cs="楷体_GB2312"/>
          <w:color w:val="auto"/>
          <w:sz w:val="32"/>
          <w:szCs w:val="32"/>
          <w:highlight w:val="none"/>
          <w:lang w:val="en-US" w:eastAsia="zh-CN"/>
        </w:rPr>
        <w:t>（三）师资蓄能：精研专业，赋能特殊教育新力量</w:t>
      </w:r>
    </w:p>
    <w:p w14:paraId="15795DD9">
      <w:pPr>
        <w:numPr>
          <w:ilvl w:val="0"/>
          <w:numId w:val="0"/>
        </w:numPr>
        <w:spacing w:line="600" w:lineRule="exact"/>
        <w:ind w:left="17" w:leftChars="8" w:firstLine="624" w:firstLineChars="195"/>
        <w:outlineLvl w:val="2"/>
        <w:rPr>
          <w:rFonts w:hint="eastAsia" w:ascii="仿宋_GB2312" w:hAnsi="楷体_GB2312" w:eastAsia="仿宋_GB2312" w:cs="楷体_GB2312"/>
          <w:color w:val="auto"/>
          <w:sz w:val="32"/>
          <w:szCs w:val="32"/>
          <w:highlight w:val="none"/>
        </w:rPr>
      </w:pPr>
      <w:r>
        <w:rPr>
          <w:rFonts w:hint="eastAsia" w:ascii="仿宋_GB2312" w:hAnsi="楷体_GB2312" w:eastAsia="仿宋_GB2312" w:cs="楷体_GB2312"/>
          <w:color w:val="auto"/>
          <w:sz w:val="32"/>
          <w:szCs w:val="32"/>
          <w:highlight w:val="none"/>
          <w:lang w:val="en-US" w:eastAsia="zh-CN"/>
        </w:rPr>
        <w:t>学校</w:t>
      </w:r>
      <w:r>
        <w:rPr>
          <w:rFonts w:hint="eastAsia" w:ascii="仿宋_GB2312" w:hAnsi="楷体_GB2312" w:eastAsia="仿宋_GB2312" w:cs="楷体_GB2312"/>
          <w:color w:val="auto"/>
          <w:sz w:val="32"/>
          <w:szCs w:val="32"/>
          <w:highlight w:val="none"/>
        </w:rPr>
        <w:t>要求全体教师利用</w:t>
      </w:r>
      <w:r>
        <w:rPr>
          <w:rFonts w:hint="eastAsia" w:ascii="仿宋_GB2312" w:hAnsi="楷体_GB2312" w:eastAsia="仿宋_GB2312" w:cs="楷体_GB2312"/>
          <w:color w:val="auto"/>
          <w:sz w:val="32"/>
          <w:szCs w:val="32"/>
          <w:highlight w:val="none"/>
          <w:lang w:eastAsia="zh-CN"/>
        </w:rPr>
        <w:t>假</w:t>
      </w:r>
      <w:r>
        <w:rPr>
          <w:rFonts w:hint="eastAsia" w:ascii="仿宋_GB2312" w:hAnsi="楷体_GB2312" w:eastAsia="仿宋_GB2312" w:cs="楷体_GB2312"/>
          <w:color w:val="auto"/>
          <w:sz w:val="32"/>
          <w:szCs w:val="32"/>
          <w:highlight w:val="none"/>
        </w:rPr>
        <w:t>期时间，自主登录国家中小学智慧教育平台，完成指定模块的线上学习。教科研将通过平台后台数据或要求教师定期反馈进度截图等方式，动态监控学习进度，做好日常提醒与督促，确保全员按时保质完成研修任务。</w:t>
      </w:r>
      <w:r>
        <w:rPr>
          <w:rFonts w:hint="eastAsia" w:ascii="仿宋_GB2312" w:hAnsi="楷体_GB2312" w:eastAsia="仿宋_GB2312" w:cs="楷体_GB2312"/>
          <w:color w:val="auto"/>
          <w:sz w:val="32"/>
          <w:szCs w:val="32"/>
          <w:highlight w:val="none"/>
          <w:lang w:val="en-US" w:eastAsia="zh-CN"/>
        </w:rPr>
        <w:t>自学</w:t>
      </w:r>
      <w:r>
        <w:rPr>
          <w:rFonts w:hint="eastAsia" w:ascii="仿宋_GB2312" w:hAnsi="楷体_GB2312" w:eastAsia="仿宋_GB2312" w:cs="楷体_GB2312"/>
          <w:color w:val="auto"/>
          <w:sz w:val="32"/>
          <w:szCs w:val="32"/>
          <w:highlight w:val="none"/>
        </w:rPr>
        <w:t>《应用行为分析和儿童行为管理》一书</w:t>
      </w:r>
      <w:r>
        <w:rPr>
          <w:rFonts w:hint="eastAsia" w:ascii="仿宋_GB2312" w:hAnsi="楷体_GB2312" w:eastAsia="仿宋_GB2312" w:cs="楷体_GB2312"/>
          <w:color w:val="auto"/>
          <w:sz w:val="32"/>
          <w:szCs w:val="32"/>
          <w:highlight w:val="none"/>
          <w:lang w:eastAsia="zh-CN"/>
        </w:rPr>
        <w:t>，</w:t>
      </w:r>
      <w:r>
        <w:rPr>
          <w:rFonts w:hint="eastAsia" w:ascii="仿宋_GB2312" w:hAnsi="楷体_GB2312" w:eastAsia="仿宋_GB2312" w:cs="楷体_GB2312"/>
          <w:color w:val="auto"/>
          <w:sz w:val="32"/>
          <w:szCs w:val="32"/>
          <w:highlight w:val="none"/>
        </w:rPr>
        <w:t>重点理解核心概念、策略及其在教育实践中的应用</w:t>
      </w:r>
      <w:r>
        <w:rPr>
          <w:rFonts w:hint="eastAsia" w:ascii="仿宋_GB2312" w:hAnsi="楷体_GB2312" w:eastAsia="仿宋_GB2312" w:cs="楷体_GB2312"/>
          <w:color w:val="auto"/>
          <w:sz w:val="32"/>
          <w:szCs w:val="32"/>
          <w:highlight w:val="none"/>
          <w:lang w:eastAsia="zh-CN"/>
        </w:rPr>
        <w:t>，</w:t>
      </w:r>
      <w:r>
        <w:rPr>
          <w:rFonts w:hint="eastAsia" w:ascii="仿宋_GB2312" w:hAnsi="楷体_GB2312" w:eastAsia="仿宋_GB2312" w:cs="楷体_GB2312"/>
          <w:color w:val="auto"/>
          <w:sz w:val="32"/>
          <w:szCs w:val="32"/>
          <w:highlight w:val="none"/>
        </w:rPr>
        <w:t>在开学前安排教研组交流研讨，安排党员教师或骨干教师，重点领学书中选定的关键章节</w:t>
      </w:r>
      <w:r>
        <w:rPr>
          <w:rFonts w:hint="eastAsia" w:ascii="仿宋_GB2312" w:hAnsi="楷体_GB2312" w:eastAsia="仿宋_GB2312" w:cs="楷体_GB2312"/>
          <w:color w:val="auto"/>
          <w:sz w:val="32"/>
          <w:szCs w:val="32"/>
          <w:highlight w:val="none"/>
          <w:lang w:eastAsia="zh-CN"/>
        </w:rPr>
        <w:t>，</w:t>
      </w:r>
      <w:r>
        <w:rPr>
          <w:rFonts w:hint="eastAsia" w:ascii="仿宋_GB2312" w:hAnsi="楷体_GB2312" w:eastAsia="仿宋_GB2312" w:cs="楷体_GB2312"/>
          <w:color w:val="auto"/>
          <w:sz w:val="32"/>
          <w:szCs w:val="32"/>
          <w:highlight w:val="none"/>
          <w:lang w:val="en-US" w:eastAsia="zh-CN"/>
        </w:rPr>
        <w:t>并组织</w:t>
      </w:r>
      <w:r>
        <w:rPr>
          <w:rFonts w:hint="eastAsia" w:ascii="仿宋_GB2312" w:hAnsi="楷体_GB2312" w:eastAsia="仿宋_GB2312" w:cs="楷体_GB2312"/>
          <w:color w:val="auto"/>
          <w:sz w:val="32"/>
          <w:szCs w:val="32"/>
          <w:highlight w:val="none"/>
        </w:rPr>
        <w:t>每位教师结合自身学段、学科特点及教育教学中遇到的实际行为管理案例，分享学习心得、困惑以及计划应用的策略。鼓励教师提出实践中遇到的难题，共同探讨解决方案。交流研讨结束后，教研组现场组织业务测试</w:t>
      </w:r>
      <w:r>
        <w:rPr>
          <w:rFonts w:hint="eastAsia" w:ascii="仿宋_GB2312" w:hAnsi="楷体_GB2312" w:eastAsia="仿宋_GB2312" w:cs="楷体_GB2312"/>
          <w:color w:val="auto"/>
          <w:sz w:val="32"/>
          <w:szCs w:val="32"/>
          <w:highlight w:val="none"/>
          <w:lang w:eastAsia="zh-CN"/>
        </w:rPr>
        <w:t>，</w:t>
      </w:r>
      <w:r>
        <w:rPr>
          <w:rFonts w:hint="eastAsia" w:ascii="仿宋_GB2312" w:hAnsi="楷体_GB2312" w:eastAsia="仿宋_GB2312" w:cs="楷体_GB2312"/>
          <w:color w:val="auto"/>
          <w:sz w:val="32"/>
          <w:szCs w:val="32"/>
          <w:highlight w:val="none"/>
        </w:rPr>
        <w:t>检验学习效果，巩固知识。</w:t>
      </w:r>
      <w:r>
        <w:rPr>
          <w:rFonts w:hint="eastAsia" w:ascii="仿宋_GB2312" w:hAnsi="楷体_GB2312" w:eastAsia="仿宋_GB2312" w:cs="楷体_GB2312"/>
          <w:color w:val="auto"/>
          <w:sz w:val="32"/>
          <w:szCs w:val="32"/>
          <w:highlight w:val="none"/>
          <w:lang w:val="en-US" w:eastAsia="zh-CN"/>
        </w:rPr>
        <w:t>学校将不断</w:t>
      </w:r>
      <w:r>
        <w:rPr>
          <w:rFonts w:hint="eastAsia" w:ascii="仿宋_GB2312" w:hAnsi="楷体_GB2312" w:eastAsia="仿宋_GB2312" w:cs="楷体_GB2312"/>
          <w:color w:val="auto"/>
          <w:sz w:val="32"/>
          <w:szCs w:val="32"/>
          <w:highlight w:val="none"/>
        </w:rPr>
        <w:t>优化教研活动管理</w:t>
      </w:r>
      <w:r>
        <w:rPr>
          <w:rFonts w:hint="eastAsia" w:ascii="仿宋_GB2312" w:hAnsi="楷体_GB2312" w:eastAsia="仿宋_GB2312" w:cs="楷体_GB2312"/>
          <w:color w:val="auto"/>
          <w:sz w:val="32"/>
          <w:szCs w:val="32"/>
          <w:highlight w:val="none"/>
          <w:lang w:eastAsia="zh-CN"/>
        </w:rPr>
        <w:t>，</w:t>
      </w:r>
      <w:r>
        <w:rPr>
          <w:rFonts w:hint="eastAsia" w:ascii="仿宋_GB2312" w:hAnsi="楷体_GB2312" w:eastAsia="仿宋_GB2312" w:cs="楷体_GB2312"/>
          <w:color w:val="auto"/>
          <w:sz w:val="32"/>
          <w:szCs w:val="32"/>
          <w:highlight w:val="none"/>
        </w:rPr>
        <w:t>要求各教研组长在开学前，依据《乌海市中小学教学常规（2024年版）》的最新要求，结合本学科、学段特点及暑期培训内容，制定出下学期详实、可操作的教研主题及月度活动计划</w:t>
      </w:r>
      <w:r>
        <w:rPr>
          <w:rFonts w:hint="eastAsia" w:ascii="仿宋_GB2312" w:hAnsi="楷体_GB2312" w:eastAsia="仿宋_GB2312" w:cs="楷体_GB2312"/>
          <w:color w:val="auto"/>
          <w:sz w:val="32"/>
          <w:szCs w:val="32"/>
          <w:highlight w:val="none"/>
          <w:lang w:eastAsia="zh-CN"/>
        </w:rPr>
        <w:t>，</w:t>
      </w:r>
      <w:r>
        <w:rPr>
          <w:rFonts w:hint="eastAsia" w:ascii="仿宋_GB2312" w:hAnsi="楷体_GB2312" w:eastAsia="仿宋_GB2312" w:cs="楷体_GB2312"/>
          <w:color w:val="auto"/>
          <w:sz w:val="32"/>
          <w:szCs w:val="32"/>
          <w:highlight w:val="none"/>
        </w:rPr>
        <w:t>确保计划的方向性、科学性和可行性。</w:t>
      </w:r>
    </w:p>
    <w:p w14:paraId="096F0CEF">
      <w:pPr>
        <w:numPr>
          <w:ilvl w:val="0"/>
          <w:numId w:val="0"/>
        </w:numPr>
        <w:spacing w:line="600" w:lineRule="exact"/>
        <w:ind w:left="17" w:leftChars="8" w:firstLine="624" w:firstLineChars="195"/>
        <w:outlineLvl w:val="2"/>
        <w:rPr>
          <w:rFonts w:hint="default" w:ascii="仿宋_GB2312" w:hAnsi="楷体_GB2312" w:eastAsia="仿宋_GB2312" w:cs="楷体_GB2312"/>
          <w:color w:val="auto"/>
          <w:sz w:val="32"/>
          <w:szCs w:val="32"/>
          <w:highlight w:val="none"/>
          <w:lang w:val="en-US" w:eastAsia="zh-CN"/>
        </w:rPr>
      </w:pPr>
      <w:r>
        <w:rPr>
          <w:rFonts w:hint="eastAsia" w:ascii="仿宋_GB2312" w:hAnsi="楷体_GB2312" w:eastAsia="仿宋_GB2312" w:cs="楷体_GB2312"/>
          <w:color w:val="auto"/>
          <w:sz w:val="32"/>
          <w:szCs w:val="32"/>
          <w:highlight w:val="none"/>
          <w:lang w:val="en-US" w:eastAsia="zh-CN"/>
        </w:rPr>
        <w:t>（四）家校携手：同心同行，拓展特殊教育双路径</w:t>
      </w:r>
    </w:p>
    <w:p w14:paraId="03020FEF">
      <w:pPr>
        <w:numPr>
          <w:ilvl w:val="0"/>
          <w:numId w:val="0"/>
        </w:numPr>
        <w:spacing w:line="600" w:lineRule="exact"/>
        <w:ind w:left="17" w:leftChars="8" w:firstLine="624" w:firstLineChars="195"/>
        <w:outlineLvl w:val="2"/>
        <w:rPr>
          <w:rFonts w:hint="default" w:ascii="仿宋_GB2312" w:hAnsi="楷体_GB2312" w:eastAsia="仿宋_GB2312" w:cs="楷体_GB2312"/>
          <w:color w:val="auto"/>
          <w:sz w:val="32"/>
          <w:szCs w:val="32"/>
          <w:highlight w:val="none"/>
          <w:lang w:val="en-US" w:eastAsia="zh-CN"/>
        </w:rPr>
      </w:pPr>
      <w:r>
        <w:rPr>
          <w:rFonts w:hint="default" w:ascii="仿宋_GB2312" w:hAnsi="楷体_GB2312" w:eastAsia="仿宋_GB2312" w:cs="楷体_GB2312"/>
          <w:color w:val="auto"/>
          <w:sz w:val="32"/>
          <w:szCs w:val="32"/>
          <w:highlight w:val="none"/>
          <w:lang w:val="en-US" w:eastAsia="zh-CN"/>
        </w:rPr>
        <w:t>开学前的家校携手，是特殊教育成功的关键基石。通过深度沟通、联合培训、共同规划和情感联结，家校双方同心同行，为学生拓展出家庭与学校协同共进的“双路径”</w:t>
      </w:r>
      <w:r>
        <w:rPr>
          <w:rFonts w:hint="eastAsia" w:ascii="仿宋_GB2312" w:hAnsi="楷体_GB2312" w:eastAsia="仿宋_GB2312" w:cs="楷体_GB2312"/>
          <w:color w:val="auto"/>
          <w:sz w:val="32"/>
          <w:szCs w:val="32"/>
          <w:highlight w:val="none"/>
          <w:lang w:val="en-US" w:eastAsia="zh-CN"/>
        </w:rPr>
        <w:t>。</w:t>
      </w:r>
      <w:r>
        <w:rPr>
          <w:rFonts w:hint="default" w:ascii="仿宋_GB2312" w:hAnsi="楷体_GB2312" w:eastAsia="仿宋_GB2312" w:cs="楷体_GB2312"/>
          <w:color w:val="auto"/>
          <w:sz w:val="32"/>
          <w:szCs w:val="32"/>
          <w:highlight w:val="none"/>
          <w:lang w:val="en-US" w:eastAsia="zh-CN"/>
        </w:rPr>
        <w:t>开学前，学校搭建多样化的沟通平台，</w:t>
      </w:r>
      <w:r>
        <w:rPr>
          <w:rFonts w:hint="eastAsia" w:ascii="仿宋_GB2312" w:hAnsi="楷体_GB2312" w:eastAsia="仿宋_GB2312" w:cs="楷体_GB2312"/>
          <w:color w:val="auto"/>
          <w:sz w:val="32"/>
          <w:szCs w:val="32"/>
          <w:highlight w:val="none"/>
          <w:lang w:val="en-US" w:eastAsia="zh-CN"/>
        </w:rPr>
        <w:t>开展</w:t>
      </w:r>
      <w:r>
        <w:rPr>
          <w:rFonts w:hint="default" w:ascii="仿宋_GB2312" w:hAnsi="楷体_GB2312" w:eastAsia="仿宋_GB2312" w:cs="楷体_GB2312"/>
          <w:color w:val="auto"/>
          <w:sz w:val="32"/>
          <w:szCs w:val="32"/>
          <w:highlight w:val="none"/>
          <w:lang w:val="en-US" w:eastAsia="zh-CN"/>
        </w:rPr>
        <w:t>线上家长会、一对一深度交流等</w:t>
      </w:r>
      <w:r>
        <w:rPr>
          <w:rFonts w:hint="eastAsia" w:ascii="仿宋_GB2312" w:hAnsi="楷体_GB2312" w:eastAsia="仿宋_GB2312" w:cs="楷体_GB2312"/>
          <w:color w:val="auto"/>
          <w:sz w:val="32"/>
          <w:szCs w:val="32"/>
          <w:highlight w:val="none"/>
          <w:lang w:val="en-US" w:eastAsia="zh-CN"/>
        </w:rPr>
        <w:t>进行多样化家访，</w:t>
      </w:r>
      <w:r>
        <w:rPr>
          <w:rFonts w:hint="default" w:ascii="仿宋_GB2312" w:hAnsi="楷体_GB2312" w:eastAsia="仿宋_GB2312" w:cs="楷体_GB2312"/>
          <w:color w:val="auto"/>
          <w:sz w:val="32"/>
          <w:szCs w:val="32"/>
          <w:highlight w:val="none"/>
          <w:lang w:val="en-US" w:eastAsia="zh-CN"/>
        </w:rPr>
        <w:t>全面沟通学生暑期生活状态，包括作息规律、情绪表现、康复训练坚持情况等，同步记录家长反馈的困惑与需求。收集家长对学校工作的意见建议，形成“家访问题清单”，梳理共性问题并优化开学后教学与管理方案，确保家访收集的需求得到精准回应。</w:t>
      </w:r>
    </w:p>
    <w:p w14:paraId="07C46090">
      <w:pPr>
        <w:numPr>
          <w:ilvl w:val="0"/>
          <w:numId w:val="0"/>
        </w:numPr>
        <w:spacing w:line="600" w:lineRule="exact"/>
        <w:ind w:left="17" w:leftChars="8" w:firstLine="624" w:firstLineChars="195"/>
        <w:outlineLvl w:val="2"/>
        <w:rPr>
          <w:rFonts w:hint="eastAsia" w:ascii="仿宋_GB2312" w:hAnsi="楷体_GB2312" w:eastAsia="仿宋_GB2312" w:cs="楷体_GB2312"/>
          <w:color w:val="auto"/>
          <w:sz w:val="32"/>
          <w:szCs w:val="32"/>
          <w:highlight w:val="none"/>
          <w:lang w:val="en-US" w:eastAsia="zh-CN"/>
        </w:rPr>
      </w:pPr>
      <w:r>
        <w:rPr>
          <w:rFonts w:hint="eastAsia" w:ascii="仿宋_GB2312" w:hAnsi="楷体_GB2312" w:eastAsia="仿宋_GB2312" w:cs="楷体_GB2312"/>
          <w:color w:val="auto"/>
          <w:sz w:val="32"/>
          <w:szCs w:val="32"/>
          <w:highlight w:val="none"/>
          <w:lang w:val="en-US" w:eastAsia="zh-CN"/>
        </w:rPr>
        <w:t>（五）后勤护航：健康守护，拧紧开学保障安全阀</w:t>
      </w:r>
    </w:p>
    <w:p w14:paraId="61189544">
      <w:pPr>
        <w:numPr>
          <w:ilvl w:val="0"/>
          <w:numId w:val="0"/>
        </w:numPr>
        <w:spacing w:line="600" w:lineRule="exact"/>
        <w:ind w:left="17" w:leftChars="8" w:firstLine="624" w:firstLineChars="195"/>
        <w:outlineLvl w:val="2"/>
        <w:rPr>
          <w:rFonts w:hint="default" w:ascii="仿宋_GB2312" w:hAnsi="楷体_GB2312" w:eastAsia="仿宋_GB2312" w:cs="楷体_GB2312"/>
          <w:color w:val="auto"/>
          <w:sz w:val="32"/>
          <w:szCs w:val="32"/>
          <w:highlight w:val="none"/>
          <w:lang w:val="en-US" w:eastAsia="zh-CN"/>
        </w:rPr>
      </w:pPr>
      <w:r>
        <w:rPr>
          <w:rFonts w:hint="eastAsia" w:ascii="仿宋_GB2312" w:hAnsi="楷体_GB2312" w:eastAsia="仿宋_GB2312" w:cs="楷体_GB2312"/>
          <w:color w:val="auto"/>
          <w:sz w:val="32"/>
          <w:szCs w:val="32"/>
          <w:highlight w:val="none"/>
          <w:lang w:val="en-US" w:eastAsia="zh-CN"/>
        </w:rPr>
        <w:t>在开学前的学校经费管理工作中，食品安全是重中之重，而学校食堂的食品采购环节更是保障食品安全的第一道防线。学</w:t>
      </w:r>
      <w:r>
        <w:rPr>
          <w:rFonts w:hint="default" w:ascii="仿宋_GB2312" w:hAnsi="楷体_GB2312" w:eastAsia="仿宋_GB2312" w:cs="楷体_GB2312"/>
          <w:color w:val="auto"/>
          <w:sz w:val="32"/>
          <w:szCs w:val="32"/>
          <w:highlight w:val="none"/>
          <w:lang w:val="en-US" w:eastAsia="zh-CN"/>
        </w:rPr>
        <w:t>校严格遵循膳食经费管理相关规定，出台《学校膳食经费管理办法》，膳食经费“量入为出、精打细算”，通过科学预算避免超支或浪费，同时保障餐食质量。重点强化食材源头管控，建立“双人采购验收、索证索票齐全、台账清晰可溯”制度，</w:t>
      </w:r>
      <w:r>
        <w:rPr>
          <w:rFonts w:hint="eastAsia" w:ascii="仿宋_GB2312" w:hAnsi="楷体_GB2312" w:eastAsia="仿宋_GB2312" w:cs="楷体_GB2312"/>
          <w:color w:val="auto"/>
          <w:sz w:val="32"/>
          <w:szCs w:val="32"/>
          <w:highlight w:val="none"/>
          <w:lang w:val="en-US" w:eastAsia="zh-CN"/>
        </w:rPr>
        <w:t>为确保新学期学生能吃上安全、放心的餐食，对食品采购进行全面深入的摸底排查以及严谨细致的比价工作，</w:t>
      </w:r>
      <w:r>
        <w:rPr>
          <w:rFonts w:hint="default" w:ascii="仿宋_GB2312" w:hAnsi="楷体_GB2312" w:eastAsia="仿宋_GB2312" w:cs="楷体_GB2312"/>
          <w:color w:val="auto"/>
          <w:sz w:val="32"/>
          <w:szCs w:val="32"/>
          <w:highlight w:val="none"/>
          <w:lang w:val="en-US" w:eastAsia="zh-CN"/>
        </w:rPr>
        <w:t>严把食材安全关、质量关；同时结合学生残障类型和健康状况定制餐谱，并严格落实校领导、教师陪餐制度，动态收集反馈优化供餐。强化校园安全管理</w:t>
      </w:r>
      <w:r>
        <w:rPr>
          <w:rFonts w:hint="eastAsia" w:ascii="仿宋_GB2312" w:hAnsi="楷体_GB2312" w:eastAsia="仿宋_GB2312" w:cs="楷体_GB2312"/>
          <w:color w:val="auto"/>
          <w:sz w:val="32"/>
          <w:szCs w:val="32"/>
          <w:highlight w:val="none"/>
          <w:lang w:val="en-US" w:eastAsia="zh-CN"/>
        </w:rPr>
        <w:t>，</w:t>
      </w:r>
      <w:r>
        <w:rPr>
          <w:rFonts w:hint="default" w:ascii="仿宋_GB2312" w:hAnsi="楷体_GB2312" w:eastAsia="仿宋_GB2312" w:cs="楷体_GB2312"/>
          <w:color w:val="auto"/>
          <w:sz w:val="32"/>
          <w:szCs w:val="32"/>
          <w:highlight w:val="none"/>
          <w:lang w:val="en-US" w:eastAsia="zh-CN"/>
        </w:rPr>
        <w:t>检查校园管理设施，确保校门、围墙、护栏等完好牢固，门禁系统正常运行。配备充足的安防设备，如监控摄像头、一键报警装置、消防器材、应急照明等，确保设备灵敏有效。计划在开学初开展交通安全、防溺水、防触电、防欺凌等主题教育活动，帮助学生掌握基本安全知识和自我保护技能。</w:t>
      </w:r>
      <w:r>
        <w:rPr>
          <w:rFonts w:hint="eastAsia" w:ascii="仿宋_GB2312" w:hAnsi="楷体_GB2312" w:eastAsia="仿宋_GB2312" w:cs="楷体_GB2312"/>
          <w:color w:val="auto"/>
          <w:sz w:val="32"/>
          <w:szCs w:val="32"/>
          <w:highlight w:val="none"/>
          <w:lang w:val="en-US" w:eastAsia="zh-CN"/>
        </w:rPr>
        <w:t>开学前，</w:t>
      </w:r>
      <w:r>
        <w:rPr>
          <w:rFonts w:hint="default" w:ascii="仿宋_GB2312" w:hAnsi="楷体_GB2312" w:eastAsia="仿宋_GB2312" w:cs="楷体_GB2312"/>
          <w:color w:val="auto"/>
          <w:sz w:val="32"/>
          <w:szCs w:val="32"/>
          <w:highlight w:val="none"/>
          <w:lang w:val="en-US" w:eastAsia="zh-CN"/>
        </w:rPr>
        <w:t>组织教职工对校园公共区域进行彻底清扫，对学生活动频繁的区域进行全面擦拭和消毒。对校内各类设施设备进行安全隐患排查，重点检查学生生活相关设施，确保符合安全标准，防止学生发生摔伤、烫伤等意外</w:t>
      </w:r>
      <w:r>
        <w:rPr>
          <w:rFonts w:hint="eastAsia" w:ascii="仿宋_GB2312" w:hAnsi="楷体_GB2312" w:eastAsia="仿宋_GB2312" w:cs="楷体_GB2312"/>
          <w:color w:val="auto"/>
          <w:sz w:val="32"/>
          <w:szCs w:val="32"/>
          <w:highlight w:val="none"/>
          <w:lang w:val="en-US" w:eastAsia="zh-CN"/>
        </w:rPr>
        <w:t>，为学生的健康安全保驾护航。</w:t>
      </w:r>
    </w:p>
    <w:p w14:paraId="7875C9ED">
      <w:pPr>
        <w:pStyle w:val="5"/>
        <w:tabs>
          <w:tab w:val="left" w:pos="4392"/>
        </w:tabs>
        <w:adjustRightInd/>
        <w:snapToGrid/>
        <w:spacing w:before="0" w:after="0" w:line="600" w:lineRule="exact"/>
        <w:ind w:firstLine="0" w:firstLineChars="0"/>
        <w:jc w:val="center"/>
        <w:rPr>
          <w:rFonts w:hint="eastAsia" w:ascii="仿宋_GB2312" w:hAnsi="仿宋" w:eastAsia="仿宋_GB2312" w:cs="仿宋"/>
          <w:b/>
          <w:bCs/>
          <w:color w:val="auto"/>
          <w:kern w:val="0"/>
          <w:sz w:val="36"/>
          <w:szCs w:val="32"/>
          <w:lang w:val="en-US" w:eastAsia="zh-CN" w:bidi="ar"/>
        </w:rPr>
      </w:pPr>
      <w:bookmarkStart w:id="1" w:name="_Toc21288"/>
      <w:r>
        <w:rPr>
          <w:rFonts w:hint="eastAsia" w:ascii="仿宋_GB2312" w:hAnsi="仿宋" w:eastAsia="仿宋_GB2312" w:cs="仿宋"/>
          <w:b/>
          <w:bCs/>
          <w:color w:val="auto"/>
          <w:kern w:val="0"/>
          <w:sz w:val="36"/>
          <w:szCs w:val="32"/>
          <w:lang w:val="en-US" w:eastAsia="zh-CN" w:bidi="ar"/>
        </w:rPr>
        <w:t>第二部分 2026年度单位预算情况说明</w:t>
      </w:r>
      <w:bookmarkEnd w:id="1"/>
    </w:p>
    <w:p w14:paraId="6A96AC40">
      <w:pPr>
        <w:spacing w:line="600" w:lineRule="exact"/>
        <w:rPr>
          <w:rFonts w:ascii="方正小标宋简体" w:hAnsi="方正小标宋简体" w:eastAsia="方正小标宋简体" w:cs="方正小标宋简体"/>
          <w:sz w:val="36"/>
          <w:szCs w:val="36"/>
          <w:highlight w:val="none"/>
        </w:rPr>
      </w:pPr>
    </w:p>
    <w:p w14:paraId="7849ECE2">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一、</w:t>
      </w:r>
      <w:r>
        <w:rPr>
          <w:rFonts w:hint="eastAsia" w:eastAsia="黑体" w:cs="黑体"/>
          <w:sz w:val="32"/>
          <w:szCs w:val="36"/>
          <w:highlight w:val="none"/>
          <w:lang w:val="en-US" w:eastAsia="zh-CN"/>
        </w:rPr>
        <w:t>2026年单位</w:t>
      </w:r>
      <w:r>
        <w:rPr>
          <w:rFonts w:hint="eastAsia" w:eastAsia="黑体" w:cs="黑体"/>
          <w:sz w:val="32"/>
          <w:szCs w:val="36"/>
          <w:highlight w:val="none"/>
        </w:rPr>
        <w:t>预算收支总体情况说明</w:t>
      </w:r>
    </w:p>
    <w:p w14:paraId="548D9C02">
      <w:pPr>
        <w:pStyle w:val="6"/>
        <w:tabs>
          <w:tab w:val="left" w:pos="5840"/>
          <w:tab w:val="left" w:pos="7858"/>
          <w:tab w:val="left" w:pos="9328"/>
        </w:tabs>
        <w:spacing w:after="0"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rPr>
        <w:t>乌海市特殊教育学校单位2026年度收入、支出预算总计1620.90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rPr>
        <w:t>与上年相比收、支预算总计增加286.21万元，增加21.44%</w:t>
      </w:r>
      <w:r>
        <w:rPr>
          <w:rFonts w:hint="eastAsia" w:ascii="仿宋_GB2312" w:hAnsi="仿宋_GB2312" w:eastAsia="仿宋_GB2312" w:cs="仿宋_GB2312"/>
          <w:sz w:val="32"/>
          <w:szCs w:val="32"/>
          <w:highlight w:val="none"/>
        </w:rPr>
        <w:t>。其中：</w:t>
      </w:r>
    </w:p>
    <w:p w14:paraId="5DC8EDA4">
      <w:pPr>
        <w:pStyle w:val="6"/>
        <w:tabs>
          <w:tab w:val="left" w:pos="4275"/>
        </w:tabs>
        <w:spacing w:after="0" w:line="56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（一）收入预算总计1620.90万元。包括：</w:t>
      </w:r>
    </w:p>
    <w:p w14:paraId="005184A0">
      <w:pPr>
        <w:pStyle w:val="6"/>
        <w:tabs>
          <w:tab w:val="left" w:pos="5840"/>
          <w:tab w:val="left" w:pos="7858"/>
          <w:tab w:val="left" w:pos="9328"/>
        </w:tabs>
        <w:spacing w:after="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1．本年收入合计1,463.6万元。</w:t>
      </w:r>
    </w:p>
    <w:p w14:paraId="406BE648">
      <w:pPr>
        <w:pStyle w:val="6"/>
        <w:tabs>
          <w:tab w:val="left" w:pos="5840"/>
          <w:tab w:val="left" w:pos="7858"/>
          <w:tab w:val="left" w:pos="9328"/>
        </w:tabs>
        <w:spacing w:after="0"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（1）一般公共预算拨款收入1,463.6万元，与上年相比增加167.44万元，增加12.92%。主要原因是</w:t>
      </w:r>
      <w:r>
        <w:rPr>
          <w:rFonts w:hint="eastAsia" w:ascii="仿宋_GB2312" w:hAnsi="仿宋_GB2312" w:eastAsia="仿宋_GB2312" w:cs="仿宋_GB2312"/>
          <w:sz w:val="32"/>
          <w:szCs w:val="32"/>
          <w:lang w:val="en-US" w:eastAsia="zh-CN"/>
        </w:rPr>
        <w:t>我校今年计划新招聘3名教师，人员经费增加，同时因为库款紧张，部分项目款未支付成功，结转结余增加。</w:t>
      </w:r>
    </w:p>
    <w:p w14:paraId="504F2883">
      <w:pPr>
        <w:pStyle w:val="6"/>
        <w:tabs>
          <w:tab w:val="left" w:pos="5840"/>
          <w:tab w:val="left" w:pos="7858"/>
          <w:tab w:val="left" w:pos="9328"/>
        </w:tabs>
        <w:spacing w:after="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（2）政府性基金预算拨款收入0万元，与上年相比增加0万元，增加0%。主要原因是不存在此项内容。</w:t>
      </w:r>
    </w:p>
    <w:p w14:paraId="07D1FD37">
      <w:pPr>
        <w:pStyle w:val="6"/>
        <w:tabs>
          <w:tab w:val="left" w:pos="5840"/>
          <w:tab w:val="left" w:pos="7858"/>
          <w:tab w:val="left" w:pos="9328"/>
        </w:tabs>
        <w:spacing w:after="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（3）国有资本经营预算拨款收入0万元，与上年相比增加0万元，增加0%。主要原因是不存在此项内容。</w:t>
      </w:r>
    </w:p>
    <w:p w14:paraId="1DEBCF5F">
      <w:pPr>
        <w:pStyle w:val="6"/>
        <w:tabs>
          <w:tab w:val="left" w:pos="5840"/>
          <w:tab w:val="left" w:pos="7858"/>
          <w:tab w:val="left" w:pos="9328"/>
        </w:tabs>
        <w:spacing w:after="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（4）财政专户管理资金收入0万元，与上年相比增加0万元，增加0%。主要原因是不存在此项内容。</w:t>
      </w:r>
    </w:p>
    <w:p w14:paraId="7A7F1F50">
      <w:pPr>
        <w:pStyle w:val="6"/>
        <w:tabs>
          <w:tab w:val="left" w:pos="5840"/>
          <w:tab w:val="left" w:pos="7858"/>
          <w:tab w:val="left" w:pos="9328"/>
        </w:tabs>
        <w:spacing w:after="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（5）事业收入0万元，与上年相比增加0万元，增加0%。主要原因是不存在此项内容。</w:t>
      </w:r>
    </w:p>
    <w:p w14:paraId="79E13BEA">
      <w:pPr>
        <w:pStyle w:val="6"/>
        <w:tabs>
          <w:tab w:val="left" w:pos="5840"/>
          <w:tab w:val="left" w:pos="7858"/>
          <w:tab w:val="left" w:pos="9328"/>
        </w:tabs>
        <w:spacing w:after="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（6）事业单位经营收入0万元，与上年相比增加0万元，增加0%。主要原因是不存在此项内容。</w:t>
      </w:r>
    </w:p>
    <w:p w14:paraId="50C489F3">
      <w:pPr>
        <w:pStyle w:val="6"/>
        <w:tabs>
          <w:tab w:val="left" w:pos="5840"/>
          <w:tab w:val="left" w:pos="7858"/>
          <w:tab w:val="left" w:pos="9328"/>
        </w:tabs>
        <w:spacing w:after="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（7）上级补助收入0万元，与上年相比增加0万元，增加0%。主要原因是不存在此项内容。</w:t>
      </w:r>
    </w:p>
    <w:p w14:paraId="1EED188E">
      <w:pPr>
        <w:pStyle w:val="6"/>
        <w:tabs>
          <w:tab w:val="left" w:pos="5840"/>
          <w:tab w:val="left" w:pos="7858"/>
          <w:tab w:val="left" w:pos="9328"/>
        </w:tabs>
        <w:spacing w:after="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（8）附属单位上缴收入0万元，与上年相比增加0万元，增加0%。主要原因是不存在此项内容。</w:t>
      </w:r>
    </w:p>
    <w:p w14:paraId="08D3BAEF">
      <w:pPr>
        <w:pStyle w:val="6"/>
        <w:tabs>
          <w:tab w:val="left" w:pos="5840"/>
          <w:tab w:val="left" w:pos="7858"/>
          <w:tab w:val="left" w:pos="9328"/>
        </w:tabs>
        <w:spacing w:after="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（9）其他收入0万元，与上年相比增加0万元，增加0%。主要原因是不存在此项内容。</w:t>
      </w:r>
    </w:p>
    <w:p w14:paraId="3DB710E8">
      <w:pPr>
        <w:pStyle w:val="6"/>
        <w:tabs>
          <w:tab w:val="left" w:pos="5840"/>
          <w:tab w:val="left" w:pos="7858"/>
          <w:tab w:val="left" w:pos="9328"/>
        </w:tabs>
        <w:spacing w:after="0" w:line="60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2．上年结转结余为157.3</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万元。与上年相比</w:t>
      </w:r>
      <w:r>
        <w:rPr>
          <w:rFonts w:hint="eastAsia" w:ascii="仿宋_GB2312" w:hAnsi="仿宋_GB2312" w:eastAsia="仿宋_GB2312" w:cs="仿宋_GB2312"/>
          <w:sz w:val="32"/>
          <w:szCs w:val="32"/>
          <w:lang w:val="en-US" w:eastAsia="zh-CN"/>
        </w:rPr>
        <w:t>增加</w:t>
      </w:r>
      <w:r>
        <w:rPr>
          <w:rFonts w:hint="eastAsia" w:ascii="仿宋_GB2312" w:hAnsi="仿宋_GB2312" w:eastAsia="仿宋_GB2312" w:cs="仿宋_GB2312"/>
          <w:sz w:val="32"/>
          <w:szCs w:val="32"/>
        </w:rPr>
        <w:t>118.76万元，</w:t>
      </w:r>
      <w:r>
        <w:rPr>
          <w:rFonts w:hint="eastAsia" w:ascii="仿宋_GB2312" w:hAnsi="仿宋_GB2312" w:eastAsia="仿宋_GB2312" w:cs="仿宋_GB2312"/>
          <w:sz w:val="32"/>
          <w:szCs w:val="32"/>
          <w:lang w:val="en-US" w:eastAsia="zh-CN"/>
        </w:rPr>
        <w:t>增加308.15</w:t>
      </w:r>
      <w:r>
        <w:rPr>
          <w:rFonts w:hint="eastAsia" w:ascii="仿宋_GB2312" w:hAnsi="仿宋_GB2312" w:eastAsia="仿宋_GB2312" w:cs="仿宋_GB2312"/>
          <w:sz w:val="32"/>
          <w:szCs w:val="32"/>
        </w:rPr>
        <w:t>%。</w:t>
      </w:r>
    </w:p>
    <w:p w14:paraId="16B12035">
      <w:pPr>
        <w:pStyle w:val="6"/>
        <w:tabs>
          <w:tab w:val="left" w:pos="4275"/>
        </w:tabs>
        <w:spacing w:after="0" w:line="56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（二）支出预算总计1</w:t>
      </w:r>
      <w:r>
        <w:rPr>
          <w:rFonts w:hint="eastAsia" w:ascii="楷体" w:hAnsi="楷体" w:eastAsia="楷体" w:cs="楷体"/>
          <w:b/>
          <w:bCs/>
          <w:sz w:val="32"/>
          <w:szCs w:val="32"/>
          <w:lang w:val="en-US" w:eastAsia="zh-CN"/>
        </w:rPr>
        <w:t>,</w:t>
      </w:r>
      <w:r>
        <w:rPr>
          <w:rFonts w:hint="eastAsia" w:ascii="楷体" w:hAnsi="楷体" w:eastAsia="楷体" w:cs="楷体"/>
          <w:b/>
          <w:bCs/>
          <w:sz w:val="32"/>
          <w:szCs w:val="32"/>
        </w:rPr>
        <w:t>620.9</w:t>
      </w:r>
      <w:r>
        <w:rPr>
          <w:rFonts w:hint="eastAsia" w:ascii="楷体" w:hAnsi="楷体" w:eastAsia="楷体" w:cs="楷体"/>
          <w:b/>
          <w:bCs/>
          <w:sz w:val="32"/>
          <w:szCs w:val="32"/>
          <w:lang w:val="en-US" w:eastAsia="zh-CN"/>
        </w:rPr>
        <w:t>0</w:t>
      </w:r>
      <w:r>
        <w:rPr>
          <w:rFonts w:hint="eastAsia" w:ascii="楷体" w:hAnsi="楷体" w:eastAsia="楷体" w:cs="楷体"/>
          <w:b/>
          <w:bCs/>
          <w:sz w:val="32"/>
          <w:szCs w:val="32"/>
        </w:rPr>
        <w:t>万元。包括：</w:t>
      </w:r>
    </w:p>
    <w:p w14:paraId="242D4482">
      <w:pPr>
        <w:pStyle w:val="6"/>
        <w:tabs>
          <w:tab w:val="left" w:pos="3792"/>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1．本年支出合计</w:t>
      </w:r>
      <w:r>
        <w:rPr>
          <w:rFonts w:hint="eastAsia" w:ascii="仿宋_GB2312" w:hAnsi="仿宋_GB2312" w:eastAsia="仿宋_GB2312" w:cs="仿宋_GB2312"/>
          <w:sz w:val="32"/>
          <w:szCs w:val="32"/>
          <w:lang w:val="en-US" w:eastAsia="zh-CN"/>
        </w:rPr>
        <w:t>1,620.90</w:t>
      </w:r>
      <w:r>
        <w:rPr>
          <w:rFonts w:hint="eastAsia" w:ascii="仿宋_GB2312" w:hAnsi="仿宋_GB2312" w:eastAsia="仿宋_GB2312" w:cs="仿宋_GB2312"/>
          <w:sz w:val="32"/>
          <w:szCs w:val="32"/>
        </w:rPr>
        <w:t>万元。</w:t>
      </w:r>
    </w:p>
    <w:p w14:paraId="77A9EBFE">
      <w:pPr>
        <w:pStyle w:val="6"/>
        <w:tabs>
          <w:tab w:val="left" w:pos="3288"/>
          <w:tab w:val="left" w:pos="5641"/>
          <w:tab w:val="left" w:pos="6778"/>
        </w:tabs>
        <w:spacing w:after="0"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rPr>
        <w:t>（1）一</w:t>
      </w:r>
      <w:r>
        <w:rPr>
          <w:rFonts w:hint="eastAsia" w:ascii="仿宋_GB2312" w:hAnsi="仿宋_GB2312" w:eastAsia="仿宋_GB2312" w:cs="仿宋_GB2312"/>
          <w:sz w:val="32"/>
          <w:szCs w:val="32"/>
          <w:highlight w:val="none"/>
        </w:rPr>
        <w:t>般公共服务支出（类）18.27万元，主要用于</w:t>
      </w:r>
      <w:r>
        <w:rPr>
          <w:rFonts w:hint="eastAsia" w:ascii="仿宋_GB2312" w:hAnsi="仿宋_GB2312" w:eastAsia="仿宋_GB2312" w:cs="仿宋_GB2312"/>
          <w:sz w:val="32"/>
          <w:szCs w:val="32"/>
          <w:highlight w:val="none"/>
          <w:lang w:val="en-US" w:eastAsia="zh-CN"/>
        </w:rPr>
        <w:t>工会经费</w:t>
      </w:r>
      <w:r>
        <w:rPr>
          <w:rFonts w:hint="eastAsia" w:ascii="仿宋_GB2312" w:hAnsi="仿宋_GB2312" w:eastAsia="仿宋_GB2312" w:cs="仿宋_GB2312"/>
          <w:sz w:val="32"/>
          <w:szCs w:val="32"/>
          <w:highlight w:val="none"/>
        </w:rPr>
        <w:t>。与上年相比增加2.92万元，增加19%。主要原因是</w:t>
      </w:r>
      <w:r>
        <w:rPr>
          <w:rFonts w:hint="eastAsia" w:ascii="仿宋_GB2312" w:hAnsi="仿宋_GB2312" w:eastAsia="仿宋_GB2312" w:cs="仿宋_GB2312"/>
          <w:sz w:val="32"/>
          <w:szCs w:val="32"/>
          <w:highlight w:val="none"/>
          <w:lang w:val="en-US" w:eastAsia="zh-CN"/>
        </w:rPr>
        <w:t>我校今年计划新招聘3名教师</w:t>
      </w:r>
      <w:r>
        <w:rPr>
          <w:rFonts w:hint="eastAsia" w:ascii="仿宋_GB2312" w:hAnsi="仿宋_GB2312" w:eastAsia="仿宋_GB2312" w:cs="仿宋_GB2312"/>
          <w:sz w:val="32"/>
          <w:szCs w:val="32"/>
          <w:highlight w:val="none"/>
        </w:rPr>
        <w:t>。</w:t>
      </w:r>
    </w:p>
    <w:p w14:paraId="00712BA8">
      <w:pPr>
        <w:pStyle w:val="6"/>
        <w:tabs>
          <w:tab w:val="left" w:pos="3288"/>
          <w:tab w:val="left" w:pos="5641"/>
          <w:tab w:val="left" w:pos="6778"/>
        </w:tabs>
        <w:spacing w:after="0"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（2）教育支出（类）1</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269.83万元，主要用于学校运行支出。与上年相比增加278.8万元，增加28.13%。主要原因是</w:t>
      </w:r>
      <w:r>
        <w:rPr>
          <w:rFonts w:hint="eastAsia" w:ascii="仿宋_GB2312" w:hAnsi="仿宋_GB2312" w:eastAsia="仿宋_GB2312" w:cs="仿宋_GB2312"/>
          <w:sz w:val="32"/>
          <w:szCs w:val="32"/>
          <w:highlight w:val="none"/>
          <w:lang w:val="en-US" w:eastAsia="zh-CN"/>
        </w:rPr>
        <w:t>我校今年计划新招聘3名教师，人员经费增加，同时因为库款紧张，部分项目款未支付成功，结转结余增加</w:t>
      </w:r>
      <w:r>
        <w:rPr>
          <w:rFonts w:hint="eastAsia" w:ascii="仿宋_GB2312" w:hAnsi="仿宋_GB2312" w:eastAsia="仿宋_GB2312" w:cs="仿宋_GB2312"/>
          <w:sz w:val="32"/>
          <w:szCs w:val="32"/>
          <w:highlight w:val="none"/>
        </w:rPr>
        <w:t>。</w:t>
      </w:r>
    </w:p>
    <w:p w14:paraId="4D417EC6">
      <w:pPr>
        <w:pStyle w:val="6"/>
        <w:tabs>
          <w:tab w:val="left" w:pos="3288"/>
          <w:tab w:val="left" w:pos="5641"/>
          <w:tab w:val="left" w:pos="6778"/>
        </w:tabs>
        <w:spacing w:after="0"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（3）社会保障和就业支出（类）161.17万元，主要用于离退休、养老保险、职业年金等支出。与上年相比减少17.42万元，减少9.76%。主要原因是单位减少</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名在职职工，机关事业单位基本养老保险缴费和机关事业单位职业年金缴费减少。</w:t>
      </w:r>
    </w:p>
    <w:p w14:paraId="036AE92E">
      <w:pPr>
        <w:pStyle w:val="6"/>
        <w:tabs>
          <w:tab w:val="left" w:pos="3288"/>
          <w:tab w:val="left" w:pos="5641"/>
          <w:tab w:val="left" w:pos="6778"/>
        </w:tabs>
        <w:spacing w:after="0"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（4）卫生健康支出（类）66.18万元，主要用于</w:t>
      </w:r>
      <w:r>
        <w:rPr>
          <w:rFonts w:hint="eastAsia" w:ascii="仿宋_GB2312" w:hAnsi="仿宋_GB2312" w:eastAsia="仿宋_GB2312" w:cs="仿宋_GB2312"/>
          <w:sz w:val="32"/>
          <w:szCs w:val="32"/>
          <w:highlight w:val="none"/>
          <w:lang w:eastAsia="zh-CN"/>
        </w:rPr>
        <w:t>事业单位医疗补助</w:t>
      </w:r>
      <w:r>
        <w:rPr>
          <w:rFonts w:hint="eastAsia" w:ascii="仿宋_GB2312" w:hAnsi="仿宋_GB2312" w:eastAsia="仿宋_GB2312" w:cs="仿宋_GB2312"/>
          <w:sz w:val="32"/>
          <w:szCs w:val="32"/>
          <w:highlight w:val="none"/>
        </w:rPr>
        <w:t>。与上年相比增加8.59万元，增加14.92%。主要原因是</w:t>
      </w:r>
      <w:r>
        <w:rPr>
          <w:rFonts w:hint="eastAsia" w:ascii="仿宋_GB2312" w:hAnsi="仿宋_GB2312" w:eastAsia="仿宋_GB2312" w:cs="仿宋_GB2312"/>
          <w:sz w:val="32"/>
          <w:szCs w:val="32"/>
          <w:highlight w:val="none"/>
          <w:lang w:val="en-US" w:eastAsia="zh-CN"/>
        </w:rPr>
        <w:t>我校今年计划新招聘3名教师，医疗补助增加</w:t>
      </w:r>
      <w:r>
        <w:rPr>
          <w:rFonts w:hint="eastAsia" w:ascii="仿宋_GB2312" w:hAnsi="仿宋_GB2312" w:eastAsia="仿宋_GB2312" w:cs="仿宋_GB2312"/>
          <w:sz w:val="32"/>
          <w:szCs w:val="32"/>
          <w:highlight w:val="none"/>
        </w:rPr>
        <w:t>。</w:t>
      </w:r>
    </w:p>
    <w:p w14:paraId="397E7970">
      <w:pPr>
        <w:pStyle w:val="6"/>
        <w:tabs>
          <w:tab w:val="left" w:pos="3288"/>
          <w:tab w:val="left" w:pos="5641"/>
          <w:tab w:val="left" w:pos="6778"/>
        </w:tabs>
        <w:spacing w:after="0"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（5）住房保障支出（类）105.46万元，主要用于住房公积金支出。与上年相比增加13.32万元，增加14.46%。主要原因是</w:t>
      </w:r>
      <w:r>
        <w:rPr>
          <w:rFonts w:hint="eastAsia" w:ascii="仿宋_GB2312" w:hAnsi="仿宋_GB2312" w:eastAsia="仿宋_GB2312" w:cs="仿宋_GB2312"/>
          <w:sz w:val="32"/>
          <w:szCs w:val="32"/>
          <w:highlight w:val="none"/>
          <w:lang w:eastAsia="zh-CN"/>
        </w:rPr>
        <w:t>我校今年计划新招聘3名教师，</w:t>
      </w:r>
      <w:r>
        <w:rPr>
          <w:rFonts w:hint="eastAsia" w:ascii="仿宋_GB2312" w:hAnsi="仿宋_GB2312" w:eastAsia="仿宋_GB2312" w:cs="仿宋_GB2312"/>
          <w:sz w:val="32"/>
          <w:szCs w:val="32"/>
          <w:highlight w:val="none"/>
          <w:lang w:val="en-US" w:eastAsia="zh-CN"/>
        </w:rPr>
        <w:t>住房公积金增加</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w:t>
      </w:r>
    </w:p>
    <w:p w14:paraId="48F3E200">
      <w:pPr>
        <w:pStyle w:val="6"/>
        <w:numPr>
          <w:ilvl w:val="0"/>
          <w:numId w:val="1"/>
        </w:numPr>
        <w:tabs>
          <w:tab w:val="left" w:pos="4112"/>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highlight w:val="none"/>
        </w:rPr>
        <w:t>年终结转结余为0万元，主要原因是不存在此</w:t>
      </w:r>
      <w:r>
        <w:rPr>
          <w:rFonts w:hint="eastAsia" w:ascii="仿宋_GB2312" w:hAnsi="仿宋_GB2312" w:eastAsia="仿宋_GB2312" w:cs="仿宋_GB2312"/>
          <w:sz w:val="32"/>
          <w:szCs w:val="32"/>
        </w:rPr>
        <w:t>项内容。</w:t>
      </w:r>
    </w:p>
    <w:p w14:paraId="5B7DA244">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二、收入预算情况说明</w:t>
      </w:r>
    </w:p>
    <w:p w14:paraId="29FBBE5D">
      <w:pPr>
        <w:pStyle w:val="6"/>
        <w:tabs>
          <w:tab w:val="left" w:pos="3288"/>
          <w:tab w:val="left" w:pos="5641"/>
          <w:tab w:val="left" w:pos="6778"/>
        </w:tabs>
        <w:spacing w:after="0"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rPr>
        <w:t>乌海市</w:t>
      </w:r>
      <w:r>
        <w:rPr>
          <w:rFonts w:hint="eastAsia" w:ascii="仿宋_GB2312" w:hAnsi="仿宋_GB2312" w:eastAsia="仿宋_GB2312" w:cs="仿宋_GB2312"/>
          <w:sz w:val="32"/>
          <w:szCs w:val="32"/>
          <w:highlight w:val="none"/>
        </w:rPr>
        <w:t>特殊教育学校单位2026年收入预算合计1</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620.9万元，包括本年收入1,463.6万元，上年结转结余</w:t>
      </w:r>
      <w:r>
        <w:rPr>
          <w:rFonts w:hint="eastAsia" w:ascii="仿宋_GB2312" w:hAnsi="仿宋_GB2312" w:eastAsia="仿宋_GB2312" w:cs="仿宋_GB2312"/>
          <w:sz w:val="32"/>
          <w:szCs w:val="32"/>
          <w:highlight w:val="none"/>
          <w:lang w:val="en-US" w:eastAsia="zh-CN"/>
        </w:rPr>
        <w:t>157.30</w:t>
      </w:r>
      <w:r>
        <w:rPr>
          <w:rFonts w:hint="eastAsia" w:ascii="仿宋_GB2312" w:hAnsi="仿宋_GB2312" w:eastAsia="仿宋_GB2312" w:cs="仿宋_GB2312"/>
          <w:sz w:val="32"/>
          <w:szCs w:val="32"/>
          <w:highlight w:val="none"/>
        </w:rPr>
        <w:t>万元。</w:t>
      </w:r>
    </w:p>
    <w:p w14:paraId="18A81AE0">
      <w:pPr>
        <w:pStyle w:val="6"/>
        <w:tabs>
          <w:tab w:val="left" w:pos="3288"/>
          <w:tab w:val="left" w:pos="5641"/>
          <w:tab w:val="left" w:pos="6778"/>
        </w:tabs>
        <w:spacing w:after="0"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其中：</w:t>
      </w:r>
    </w:p>
    <w:p w14:paraId="2C3F1B6A">
      <w:pPr>
        <w:pStyle w:val="6"/>
        <w:tabs>
          <w:tab w:val="left" w:pos="3288"/>
          <w:tab w:val="left" w:pos="5641"/>
          <w:tab w:val="left" w:pos="6778"/>
        </w:tabs>
        <w:spacing w:after="0"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本年一般公共预算收入1463.6万元,占90.3%;</w:t>
      </w:r>
    </w:p>
    <w:p w14:paraId="2D4FCB8F">
      <w:pPr>
        <w:pStyle w:val="6"/>
        <w:tabs>
          <w:tab w:val="left" w:pos="3288"/>
          <w:tab w:val="left" w:pos="5641"/>
          <w:tab w:val="left" w:pos="6778"/>
        </w:tabs>
        <w:spacing w:after="0"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本年国有资本经营预算收入0万元,占0%;</w:t>
      </w:r>
    </w:p>
    <w:p w14:paraId="27A525EB">
      <w:pPr>
        <w:pStyle w:val="6"/>
        <w:tabs>
          <w:tab w:val="left" w:pos="3288"/>
          <w:tab w:val="left" w:pos="5641"/>
          <w:tab w:val="left" w:pos="6778"/>
        </w:tabs>
        <w:spacing w:after="0"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本年财政专户管理资金0万元,占0%;</w:t>
      </w:r>
    </w:p>
    <w:p w14:paraId="313BA58D">
      <w:pPr>
        <w:pStyle w:val="6"/>
        <w:tabs>
          <w:tab w:val="left" w:pos="3288"/>
          <w:tab w:val="left" w:pos="5641"/>
          <w:tab w:val="left" w:pos="6778"/>
        </w:tabs>
        <w:spacing w:after="0"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本年事业收入0万元,占0%;</w:t>
      </w:r>
    </w:p>
    <w:p w14:paraId="1107008C">
      <w:pPr>
        <w:pStyle w:val="6"/>
        <w:tabs>
          <w:tab w:val="left" w:pos="3288"/>
          <w:tab w:val="left" w:pos="5641"/>
          <w:tab w:val="left" w:pos="6778"/>
        </w:tabs>
        <w:spacing w:after="0"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本年事业单位经营收入0万元,占0%;</w:t>
      </w:r>
    </w:p>
    <w:p w14:paraId="23646663">
      <w:pPr>
        <w:pStyle w:val="6"/>
        <w:tabs>
          <w:tab w:val="left" w:pos="3288"/>
          <w:tab w:val="left" w:pos="5641"/>
          <w:tab w:val="left" w:pos="6778"/>
        </w:tabs>
        <w:spacing w:after="0"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本年上级补助收入0万元,占0%;</w:t>
      </w:r>
    </w:p>
    <w:p w14:paraId="61D675F8">
      <w:pPr>
        <w:pStyle w:val="6"/>
        <w:tabs>
          <w:tab w:val="left" w:pos="3288"/>
          <w:tab w:val="left" w:pos="5641"/>
          <w:tab w:val="left" w:pos="6778"/>
        </w:tabs>
        <w:spacing w:after="0"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本年附属单位上缴收入0万元,占0%;</w:t>
      </w:r>
    </w:p>
    <w:p w14:paraId="3C164CD3">
      <w:pPr>
        <w:pStyle w:val="6"/>
        <w:tabs>
          <w:tab w:val="left" w:pos="3288"/>
          <w:tab w:val="left" w:pos="5641"/>
          <w:tab w:val="left" w:pos="6778"/>
        </w:tabs>
        <w:spacing w:after="0"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本年其他收入0万元,占0%;</w:t>
      </w:r>
    </w:p>
    <w:p w14:paraId="22C3BE60">
      <w:pPr>
        <w:pStyle w:val="6"/>
        <w:tabs>
          <w:tab w:val="left" w:pos="3288"/>
          <w:tab w:val="left" w:pos="5641"/>
          <w:tab w:val="left" w:pos="6778"/>
        </w:tabs>
        <w:spacing w:after="0"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上年结转结余的一般公共预算收入157.3</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lang w:eastAsia="zh-CN"/>
        </w:rPr>
        <w:t>万元,占9.7%;</w:t>
      </w:r>
    </w:p>
    <w:p w14:paraId="28E2714A">
      <w:pPr>
        <w:pStyle w:val="6"/>
        <w:tabs>
          <w:tab w:val="left" w:pos="3288"/>
          <w:tab w:val="left" w:pos="5641"/>
          <w:tab w:val="left" w:pos="6778"/>
        </w:tabs>
        <w:spacing w:after="0"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上年结转结余的政府性基金预算收入0万元,占0%;</w:t>
      </w:r>
    </w:p>
    <w:p w14:paraId="0E39D6B7">
      <w:pPr>
        <w:pStyle w:val="6"/>
        <w:tabs>
          <w:tab w:val="left" w:pos="3288"/>
          <w:tab w:val="left" w:pos="5641"/>
          <w:tab w:val="left" w:pos="6778"/>
        </w:tabs>
        <w:spacing w:after="0"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上年结转结余的国有资本经营预算收入0万元,占0%;</w:t>
      </w:r>
    </w:p>
    <w:p w14:paraId="60BCD91B">
      <w:pPr>
        <w:pStyle w:val="6"/>
        <w:tabs>
          <w:tab w:val="left" w:pos="3288"/>
          <w:tab w:val="left" w:pos="5641"/>
          <w:tab w:val="left" w:pos="6778"/>
        </w:tabs>
        <w:spacing w:after="0"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上年结转结余的财政专户管理资金0万元,占0%;</w:t>
      </w:r>
    </w:p>
    <w:p w14:paraId="696D9F85">
      <w:pPr>
        <w:pStyle w:val="6"/>
        <w:tabs>
          <w:tab w:val="left" w:pos="3288"/>
          <w:tab w:val="left" w:pos="5641"/>
          <w:tab w:val="left" w:pos="6778"/>
        </w:tabs>
        <w:spacing w:after="0" w:line="560" w:lineRule="exact"/>
        <w:ind w:firstLine="640" w:firstLineChars="200"/>
        <w:rPr>
          <w:rFonts w:hint="eastAsia" w:eastAsia="仿宋_GB2312"/>
          <w:sz w:val="32"/>
          <w:szCs w:val="32"/>
          <w:highlight w:val="none"/>
          <w:lang w:eastAsia="zh-CN"/>
        </w:rPr>
      </w:pPr>
      <w:r>
        <w:rPr>
          <w:rFonts w:hint="eastAsia" w:ascii="仿宋_GB2312" w:hAnsi="仿宋_GB2312" w:eastAsia="仿宋_GB2312" w:cs="仿宋_GB2312"/>
          <w:sz w:val="32"/>
          <w:szCs w:val="32"/>
          <w:highlight w:val="none"/>
          <w:lang w:eastAsia="zh-CN"/>
        </w:rPr>
        <w:t>上年结转结余的单位资金0万元,占0%;</w:t>
      </w:r>
    </w:p>
    <w:p w14:paraId="073352F0">
      <w:pPr>
        <w:pStyle w:val="6"/>
        <w:tabs>
          <w:tab w:val="left" w:pos="2671"/>
          <w:tab w:val="left" w:pos="5000"/>
          <w:tab w:val="left" w:pos="6190"/>
        </w:tabs>
        <w:spacing w:after="0" w:line="560" w:lineRule="exact"/>
        <w:rPr>
          <w:rFonts w:hint="eastAsia" w:eastAsia="仿宋_GB2312"/>
          <w:sz w:val="32"/>
          <w:szCs w:val="32"/>
          <w:highlight w:val="none"/>
          <w:lang w:eastAsia="zh-CN"/>
        </w:rPr>
      </w:pPr>
      <w:r>
        <w:rPr>
          <w:rFonts w:hint="eastAsia" w:eastAsia="仿宋_GB2312"/>
          <w:sz w:val="32"/>
          <w:szCs w:val="32"/>
          <w:highlight w:val="none"/>
          <w:lang w:eastAsia="zh-CN"/>
        </w:rPr>
        <w:drawing>
          <wp:anchor distT="0" distB="0" distL="114300" distR="114300" simplePos="0" relativeHeight="251659264" behindDoc="0" locked="0" layoutInCell="1" allowOverlap="1">
            <wp:simplePos x="0" y="0"/>
            <wp:positionH relativeFrom="column">
              <wp:posOffset>290830</wp:posOffset>
            </wp:positionH>
            <wp:positionV relativeFrom="paragraph">
              <wp:posOffset>131445</wp:posOffset>
            </wp:positionV>
            <wp:extent cx="5034280" cy="2680970"/>
            <wp:effectExtent l="4445" t="4445" r="5715" b="12065"/>
            <wp:wrapNone/>
            <wp:docPr id="3" name="图表 3" descr="7b0a202020202263686172745265734964223a202235303037313330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14:paraId="1ED83A79">
      <w:pPr>
        <w:pStyle w:val="6"/>
        <w:tabs>
          <w:tab w:val="left" w:pos="2671"/>
          <w:tab w:val="left" w:pos="5000"/>
          <w:tab w:val="left" w:pos="6190"/>
        </w:tabs>
        <w:spacing w:after="0" w:line="560" w:lineRule="exact"/>
        <w:rPr>
          <w:rFonts w:hint="eastAsia" w:eastAsia="仿宋_GB2312"/>
          <w:sz w:val="32"/>
          <w:szCs w:val="32"/>
          <w:highlight w:val="none"/>
          <w:lang w:eastAsia="zh-CN"/>
        </w:rPr>
      </w:pPr>
    </w:p>
    <w:p w14:paraId="4751D577">
      <w:pPr>
        <w:pStyle w:val="6"/>
        <w:tabs>
          <w:tab w:val="left" w:pos="2671"/>
          <w:tab w:val="left" w:pos="5000"/>
          <w:tab w:val="left" w:pos="6190"/>
        </w:tabs>
        <w:spacing w:after="0" w:line="560" w:lineRule="exact"/>
        <w:rPr>
          <w:rFonts w:hint="eastAsia" w:eastAsia="仿宋_GB2312"/>
          <w:sz w:val="32"/>
          <w:szCs w:val="32"/>
          <w:highlight w:val="none"/>
          <w:lang w:eastAsia="zh-CN"/>
        </w:rPr>
      </w:pPr>
    </w:p>
    <w:p w14:paraId="55667DFD">
      <w:pPr>
        <w:pStyle w:val="6"/>
        <w:tabs>
          <w:tab w:val="left" w:pos="2671"/>
          <w:tab w:val="left" w:pos="5000"/>
          <w:tab w:val="left" w:pos="6190"/>
        </w:tabs>
        <w:spacing w:after="0" w:line="560" w:lineRule="exact"/>
        <w:rPr>
          <w:rFonts w:hint="eastAsia" w:eastAsia="仿宋_GB2312"/>
          <w:sz w:val="32"/>
          <w:szCs w:val="32"/>
          <w:highlight w:val="none"/>
          <w:lang w:eastAsia="zh-CN"/>
        </w:rPr>
      </w:pPr>
    </w:p>
    <w:p w14:paraId="2E3EF98C">
      <w:pPr>
        <w:pStyle w:val="6"/>
        <w:tabs>
          <w:tab w:val="left" w:pos="2671"/>
          <w:tab w:val="left" w:pos="5000"/>
          <w:tab w:val="left" w:pos="6190"/>
        </w:tabs>
        <w:spacing w:after="0" w:line="560" w:lineRule="exact"/>
        <w:rPr>
          <w:rFonts w:hint="eastAsia" w:eastAsia="仿宋_GB2312"/>
          <w:sz w:val="32"/>
          <w:szCs w:val="32"/>
          <w:highlight w:val="none"/>
          <w:lang w:eastAsia="zh-CN"/>
        </w:rPr>
      </w:pPr>
    </w:p>
    <w:p w14:paraId="7DDDD91B">
      <w:pPr>
        <w:pStyle w:val="6"/>
        <w:tabs>
          <w:tab w:val="left" w:pos="2671"/>
          <w:tab w:val="left" w:pos="5000"/>
          <w:tab w:val="left" w:pos="6190"/>
        </w:tabs>
        <w:spacing w:after="0" w:line="560" w:lineRule="exact"/>
        <w:rPr>
          <w:rFonts w:hint="eastAsia" w:eastAsia="仿宋_GB2312"/>
          <w:sz w:val="32"/>
          <w:szCs w:val="32"/>
          <w:highlight w:val="none"/>
          <w:lang w:eastAsia="zh-CN"/>
        </w:rPr>
      </w:pPr>
    </w:p>
    <w:p w14:paraId="7179BF21">
      <w:pPr>
        <w:pStyle w:val="6"/>
        <w:tabs>
          <w:tab w:val="left" w:pos="2671"/>
          <w:tab w:val="left" w:pos="5000"/>
          <w:tab w:val="left" w:pos="6190"/>
        </w:tabs>
        <w:spacing w:after="0" w:line="560" w:lineRule="exact"/>
        <w:rPr>
          <w:rFonts w:hint="eastAsia" w:eastAsia="仿宋_GB2312"/>
          <w:sz w:val="32"/>
          <w:szCs w:val="32"/>
          <w:highlight w:val="none"/>
          <w:lang w:eastAsia="zh-CN"/>
        </w:rPr>
      </w:pPr>
    </w:p>
    <w:p w14:paraId="6A9768AB">
      <w:pPr>
        <w:pStyle w:val="2"/>
        <w:tabs>
          <w:tab w:val="left" w:pos="0"/>
        </w:tabs>
        <w:ind w:left="0" w:leftChars="0" w:firstLine="0"/>
        <w:jc w:val="center"/>
        <w:rPr>
          <w:rFonts w:hint="eastAsia" w:ascii="Times New Roman" w:hAnsi="Times New Roman" w:eastAsia="仿宋_GB2312" w:cs="仿宋"/>
          <w:sz w:val="32"/>
          <w:szCs w:val="32"/>
          <w:highlight w:val="none"/>
          <w:lang w:eastAsia="zh-CN"/>
        </w:rPr>
      </w:pPr>
      <w:r>
        <w:rPr>
          <w:rFonts w:eastAsia="仿宋_GB2312"/>
          <w:sz w:val="32"/>
          <w:szCs w:val="32"/>
          <w:highlight w:val="none"/>
        </w:rPr>
        <w:t>图1.收入预算图</w:t>
      </w:r>
    </w:p>
    <w:p w14:paraId="39203547">
      <w:pPr>
        <w:pStyle w:val="2"/>
        <w:tabs>
          <w:tab w:val="left" w:pos="0"/>
        </w:tabs>
        <w:ind w:left="0" w:leftChars="0" w:firstLine="0"/>
        <w:jc w:val="center"/>
        <w:rPr>
          <w:rFonts w:hint="default" w:ascii="Times New Roman" w:hAnsi="Times New Roman" w:eastAsia="仿宋_GB2312" w:cs="仿宋"/>
          <w:sz w:val="32"/>
          <w:szCs w:val="32"/>
          <w:highlight w:val="none"/>
          <w:lang w:val="en-US" w:eastAsia="zh-CN"/>
        </w:rPr>
      </w:pPr>
      <w:r>
        <w:rPr>
          <w:rFonts w:eastAsia="仿宋_GB2312"/>
          <w:sz w:val="32"/>
          <w:szCs w:val="32"/>
          <w:highlight w:val="none"/>
        </w:rPr>
        <w:t>图</w:t>
      </w:r>
      <w:r>
        <w:rPr>
          <w:rFonts w:hint="eastAsia" w:eastAsia="仿宋_GB2312"/>
          <w:sz w:val="32"/>
          <w:szCs w:val="32"/>
          <w:highlight w:val="none"/>
          <w:lang w:val="en-US" w:eastAsia="zh-CN"/>
        </w:rPr>
        <w:t>1</w:t>
      </w:r>
      <w:r>
        <w:rPr>
          <w:rFonts w:eastAsia="仿宋_GB2312"/>
          <w:sz w:val="32"/>
          <w:szCs w:val="32"/>
          <w:highlight w:val="none"/>
        </w:rPr>
        <w:t>.</w:t>
      </w:r>
      <w:r>
        <w:rPr>
          <w:rFonts w:hint="eastAsia" w:eastAsia="仿宋_GB2312"/>
          <w:sz w:val="32"/>
          <w:szCs w:val="32"/>
          <w:highlight w:val="none"/>
          <w:lang w:val="en-US" w:eastAsia="zh-CN"/>
        </w:rPr>
        <w:t>收入预算图</w:t>
      </w:r>
    </w:p>
    <w:p w14:paraId="4F4CD43D">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三、支出预算情况说明</w:t>
      </w:r>
    </w:p>
    <w:p w14:paraId="60C00836">
      <w:pPr>
        <w:pStyle w:val="6"/>
        <w:tabs>
          <w:tab w:val="left" w:pos="3288"/>
          <w:tab w:val="left" w:pos="5641"/>
          <w:tab w:val="left" w:pos="6778"/>
        </w:tabs>
        <w:spacing w:after="0"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乌海市特殊教育学校单位2026年支出预算合计1,</w:t>
      </w:r>
      <w:r>
        <w:rPr>
          <w:rFonts w:hint="eastAsia" w:ascii="仿宋_GB2312" w:hAnsi="仿宋_GB2312" w:eastAsia="仿宋_GB2312" w:cs="仿宋_GB2312"/>
          <w:sz w:val="32"/>
          <w:szCs w:val="32"/>
          <w:highlight w:val="none"/>
          <w:lang w:val="en-US" w:eastAsia="zh-CN"/>
        </w:rPr>
        <w:t>620.9</w:t>
      </w:r>
      <w:r>
        <w:rPr>
          <w:rFonts w:hint="eastAsia" w:ascii="仿宋_GB2312" w:hAnsi="仿宋_GB2312" w:eastAsia="仿宋_GB2312" w:cs="仿宋_GB2312"/>
          <w:sz w:val="32"/>
          <w:szCs w:val="32"/>
          <w:highlight w:val="none"/>
          <w:lang w:eastAsia="zh-CN"/>
        </w:rPr>
        <w:t>万元，其中：</w:t>
      </w:r>
      <w:bookmarkStart w:id="4" w:name="_GoBack"/>
      <w:bookmarkEnd w:id="4"/>
    </w:p>
    <w:p w14:paraId="4207E811">
      <w:pPr>
        <w:pStyle w:val="6"/>
        <w:tabs>
          <w:tab w:val="left" w:pos="3288"/>
          <w:tab w:val="left" w:pos="5641"/>
          <w:tab w:val="left" w:pos="6778"/>
        </w:tabs>
        <w:spacing w:after="0"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基本支出1,</w:t>
      </w:r>
      <w:r>
        <w:rPr>
          <w:rFonts w:hint="eastAsia" w:ascii="仿宋_GB2312" w:hAnsi="仿宋_GB2312" w:eastAsia="仿宋_GB2312" w:cs="仿宋_GB2312"/>
          <w:sz w:val="32"/>
          <w:szCs w:val="32"/>
          <w:highlight w:val="none"/>
          <w:lang w:val="en-US" w:eastAsia="zh-CN"/>
        </w:rPr>
        <w:t>401.38</w:t>
      </w:r>
      <w:r>
        <w:rPr>
          <w:rFonts w:hint="eastAsia" w:ascii="仿宋_GB2312" w:hAnsi="仿宋_GB2312" w:eastAsia="仿宋_GB2312" w:cs="仿宋_GB2312"/>
          <w:sz w:val="32"/>
          <w:szCs w:val="32"/>
          <w:highlight w:val="none"/>
          <w:lang w:eastAsia="zh-CN"/>
        </w:rPr>
        <w:t>万元，占</w:t>
      </w:r>
      <w:r>
        <w:rPr>
          <w:rFonts w:hint="eastAsia" w:ascii="仿宋_GB2312" w:hAnsi="仿宋_GB2312" w:eastAsia="仿宋_GB2312" w:cs="仿宋_GB2312"/>
          <w:sz w:val="32"/>
          <w:szCs w:val="32"/>
          <w:highlight w:val="none"/>
          <w:lang w:val="en-US" w:eastAsia="zh-CN"/>
        </w:rPr>
        <w:t>86.46</w:t>
      </w:r>
      <w:r>
        <w:rPr>
          <w:rFonts w:hint="eastAsia" w:ascii="仿宋_GB2312" w:hAnsi="仿宋_GB2312" w:eastAsia="仿宋_GB2312" w:cs="仿宋_GB2312"/>
          <w:sz w:val="32"/>
          <w:szCs w:val="32"/>
          <w:highlight w:val="none"/>
          <w:lang w:eastAsia="zh-CN"/>
        </w:rPr>
        <w:t>%；</w:t>
      </w:r>
    </w:p>
    <w:p w14:paraId="0772FE86">
      <w:pPr>
        <w:pStyle w:val="6"/>
        <w:tabs>
          <w:tab w:val="left" w:pos="3288"/>
          <w:tab w:val="left" w:pos="5641"/>
          <w:tab w:val="left" w:pos="6778"/>
        </w:tabs>
        <w:spacing w:after="0"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项目支出</w:t>
      </w:r>
      <w:r>
        <w:rPr>
          <w:rFonts w:hint="eastAsia" w:ascii="仿宋_GB2312" w:hAnsi="仿宋_GB2312" w:eastAsia="仿宋_GB2312" w:cs="仿宋_GB2312"/>
          <w:sz w:val="32"/>
          <w:szCs w:val="32"/>
          <w:highlight w:val="none"/>
          <w:lang w:val="en-US" w:eastAsia="zh-CN"/>
        </w:rPr>
        <w:t>219.52</w:t>
      </w:r>
      <w:r>
        <w:rPr>
          <w:rFonts w:hint="eastAsia" w:ascii="仿宋_GB2312" w:hAnsi="仿宋_GB2312" w:eastAsia="仿宋_GB2312" w:cs="仿宋_GB2312"/>
          <w:sz w:val="32"/>
          <w:szCs w:val="32"/>
          <w:highlight w:val="none"/>
          <w:lang w:eastAsia="zh-CN"/>
        </w:rPr>
        <w:t>万元，占</w:t>
      </w:r>
      <w:r>
        <w:rPr>
          <w:rFonts w:hint="eastAsia" w:ascii="仿宋_GB2312" w:hAnsi="仿宋_GB2312" w:eastAsia="仿宋_GB2312" w:cs="仿宋_GB2312"/>
          <w:sz w:val="32"/>
          <w:szCs w:val="32"/>
          <w:highlight w:val="none"/>
          <w:lang w:val="en-US" w:eastAsia="zh-CN"/>
        </w:rPr>
        <w:t>13.54</w:t>
      </w:r>
      <w:r>
        <w:rPr>
          <w:rFonts w:hint="eastAsia" w:ascii="仿宋_GB2312" w:hAnsi="仿宋_GB2312" w:eastAsia="仿宋_GB2312" w:cs="仿宋_GB2312"/>
          <w:sz w:val="32"/>
          <w:szCs w:val="32"/>
          <w:highlight w:val="none"/>
          <w:lang w:eastAsia="zh-CN"/>
        </w:rPr>
        <w:t>%；</w:t>
      </w:r>
    </w:p>
    <w:p w14:paraId="00E74EF4">
      <w:pPr>
        <w:pStyle w:val="6"/>
        <w:tabs>
          <w:tab w:val="left" w:pos="3288"/>
          <w:tab w:val="left" w:pos="5641"/>
          <w:tab w:val="left" w:pos="6778"/>
        </w:tabs>
        <w:spacing w:after="0"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事业单位经营支出0万元，占0%；</w:t>
      </w:r>
    </w:p>
    <w:p w14:paraId="6FB5DEB1">
      <w:pPr>
        <w:pStyle w:val="6"/>
        <w:tabs>
          <w:tab w:val="left" w:pos="3288"/>
          <w:tab w:val="left" w:pos="5641"/>
          <w:tab w:val="left" w:pos="6778"/>
        </w:tabs>
        <w:spacing w:after="0"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上缴上级支出0万元，占0%；</w:t>
      </w:r>
    </w:p>
    <w:p w14:paraId="46E4BBD3">
      <w:pPr>
        <w:pStyle w:val="6"/>
        <w:tabs>
          <w:tab w:val="left" w:pos="3288"/>
          <w:tab w:val="left" w:pos="5641"/>
          <w:tab w:val="left" w:pos="6778"/>
        </w:tabs>
        <w:spacing w:after="0"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对附属单位补助支出0万元，占0%；</w:t>
      </w:r>
    </w:p>
    <w:p w14:paraId="4552296C">
      <w:pPr>
        <w:pStyle w:val="2"/>
        <w:ind w:left="0" w:leftChars="0" w:firstLine="220"/>
        <w:jc w:val="center"/>
        <w:rPr>
          <w:rFonts w:hint="eastAsia" w:eastAsia="仿宋_GB2312"/>
          <w:sz w:val="32"/>
          <w:szCs w:val="32"/>
          <w:highlight w:val="none"/>
          <w:lang w:eastAsia="zh-CN"/>
        </w:rPr>
      </w:pPr>
      <w:r>
        <w:rPr>
          <w:rFonts w:hint="eastAsia" w:eastAsia="仿宋_GB2312"/>
          <w:sz w:val="32"/>
          <w:szCs w:val="32"/>
          <w:highlight w:val="none"/>
          <w:lang w:eastAsia="zh-CN"/>
        </w:rPr>
        <w:drawing>
          <wp:inline distT="0" distB="0" distL="114300" distR="114300">
            <wp:extent cx="4598035" cy="2459355"/>
            <wp:effectExtent l="4445" t="4445" r="15240" b="5080"/>
            <wp:docPr id="4" name="图表 4" descr="7b0a202020202263686172745265734964223a202232303437353935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5A12E55">
      <w:pPr>
        <w:pStyle w:val="2"/>
        <w:ind w:left="0" w:leftChars="0" w:firstLine="220"/>
        <w:jc w:val="center"/>
        <w:rPr>
          <w:rFonts w:hint="default"/>
          <w:highlight w:val="none"/>
        </w:rPr>
      </w:pPr>
      <w:r>
        <w:rPr>
          <w:rFonts w:eastAsia="仿宋_GB2312"/>
          <w:sz w:val="32"/>
          <w:szCs w:val="32"/>
          <w:highlight w:val="none"/>
        </w:rPr>
        <w:t>图2.支出预算图</w:t>
      </w:r>
    </w:p>
    <w:p w14:paraId="623B2C21">
      <w:pPr>
        <w:spacing w:line="600" w:lineRule="exact"/>
        <w:ind w:left="6" w:leftChars="0" w:firstLine="633" w:firstLineChars="198"/>
        <w:outlineLvl w:val="2"/>
        <w:rPr>
          <w:rFonts w:eastAsia="黑体" w:cs="黑体"/>
          <w:sz w:val="32"/>
          <w:szCs w:val="36"/>
          <w:highlight w:val="none"/>
        </w:rPr>
      </w:pPr>
      <w:r>
        <w:rPr>
          <w:rFonts w:hint="eastAsia" w:eastAsia="黑体" w:cs="黑体"/>
          <w:sz w:val="32"/>
          <w:szCs w:val="36"/>
          <w:highlight w:val="none"/>
        </w:rPr>
        <w:t>四、财政拨款收支预算总体情况说明</w:t>
      </w:r>
    </w:p>
    <w:p w14:paraId="35C90F3D">
      <w:pPr>
        <w:pStyle w:val="6"/>
        <w:tabs>
          <w:tab w:val="left" w:pos="3288"/>
          <w:tab w:val="left" w:pos="5641"/>
          <w:tab w:val="left" w:pos="6778"/>
        </w:tabs>
        <w:spacing w:after="0"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乌海市特殊教育学校单位2026年度财政拨款收、支总预算1</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eastAsia="zh-CN"/>
        </w:rPr>
        <w:t>620.9万元。其中本年收入安排一般公共预算财政拨款1463.6万元，占比90.3%；政府性基金预算财政拨款0万元，占比0%；国有资本经营预算0万元，占比0%；上年结转157.3</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lang w:eastAsia="zh-CN"/>
        </w:rPr>
        <w:t>万元，占比9.7%。与上年相比，财政拨款收、支总计各增加167.44万元，增加12.92%。主要原因是：</w:t>
      </w:r>
      <w:r>
        <w:rPr>
          <w:rFonts w:hint="eastAsia" w:ascii="仿宋_GB2312" w:hAnsi="仿宋_GB2312" w:eastAsia="仿宋_GB2312" w:cs="仿宋_GB2312"/>
          <w:sz w:val="32"/>
          <w:szCs w:val="32"/>
          <w:highlight w:val="none"/>
          <w:lang w:val="en-US" w:eastAsia="zh-CN"/>
        </w:rPr>
        <w:t>我校今年计划新招聘3名教师，人员经费增加，同时因为库款紧张，部分项目款未支付成功，结转结余增加</w:t>
      </w:r>
      <w:r>
        <w:rPr>
          <w:rFonts w:hint="eastAsia" w:ascii="仿宋_GB2312" w:hAnsi="仿宋_GB2312" w:eastAsia="仿宋_GB2312" w:cs="仿宋_GB2312"/>
          <w:sz w:val="32"/>
          <w:szCs w:val="32"/>
          <w:highlight w:val="none"/>
          <w:lang w:eastAsia="zh-CN"/>
        </w:rPr>
        <w:t>。</w:t>
      </w:r>
    </w:p>
    <w:p w14:paraId="037567A8">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五、一般公共预算支出预算情况说明</w:t>
      </w:r>
    </w:p>
    <w:p w14:paraId="3124B800">
      <w:pPr>
        <w:pStyle w:val="6"/>
        <w:tabs>
          <w:tab w:val="left" w:pos="2671"/>
          <w:tab w:val="left" w:pos="5000"/>
          <w:tab w:val="left" w:pos="6190"/>
        </w:tabs>
        <w:spacing w:after="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乌海市特殊教育学校单位2026年一般公共预算财政拨款支出预算1,</w:t>
      </w:r>
      <w:r>
        <w:rPr>
          <w:rFonts w:hint="eastAsia" w:ascii="仿宋_GB2312" w:hAnsi="仿宋_GB2312" w:eastAsia="仿宋_GB2312" w:cs="仿宋_GB2312"/>
          <w:sz w:val="32"/>
          <w:szCs w:val="32"/>
          <w:lang w:val="en-US" w:eastAsia="zh-CN"/>
        </w:rPr>
        <w:t>620.90</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286.21</w:t>
      </w:r>
      <w:r>
        <w:rPr>
          <w:rFonts w:hint="eastAsia" w:ascii="仿宋_GB2312" w:hAnsi="仿宋_GB2312" w:eastAsia="仿宋_GB2312" w:cs="仿宋_GB2312"/>
          <w:sz w:val="32"/>
          <w:szCs w:val="32"/>
        </w:rPr>
        <w:t>万元，增加</w:t>
      </w:r>
      <w:r>
        <w:rPr>
          <w:rFonts w:hint="eastAsia" w:ascii="仿宋_GB2312" w:hAnsi="仿宋_GB2312" w:eastAsia="仿宋_GB2312" w:cs="仿宋_GB2312"/>
          <w:sz w:val="32"/>
          <w:szCs w:val="32"/>
          <w:lang w:val="en-US" w:eastAsia="zh-CN"/>
        </w:rPr>
        <w:t>21.44</w:t>
      </w:r>
      <w:r>
        <w:rPr>
          <w:rFonts w:hint="eastAsia" w:ascii="仿宋_GB2312" w:hAnsi="仿宋_GB2312" w:eastAsia="仿宋_GB2312" w:cs="仿宋_GB2312"/>
          <w:sz w:val="32"/>
          <w:szCs w:val="32"/>
        </w:rPr>
        <w:t>%。</w:t>
      </w:r>
    </w:p>
    <w:p w14:paraId="4CAD3EDD">
      <w:pPr>
        <w:pStyle w:val="6"/>
        <w:tabs>
          <w:tab w:val="left" w:pos="2671"/>
          <w:tab w:val="left" w:pos="5000"/>
          <w:tab w:val="left" w:pos="6190"/>
        </w:tabs>
        <w:spacing w:after="0" w:line="600" w:lineRule="exact"/>
        <w:rPr>
          <w:rFonts w:eastAsia="仿宋_GB2312"/>
          <w:sz w:val="32"/>
          <w:szCs w:val="32"/>
          <w:highlight w:val="none"/>
        </w:rPr>
      </w:pPr>
      <w:r>
        <w:rPr>
          <w:rFonts w:hint="eastAsia" w:eastAsia="仿宋_GB2312"/>
          <w:sz w:val="32"/>
          <w:szCs w:val="32"/>
          <w:highlight w:val="none"/>
        </w:rPr>
        <w:t>具体情况如下：</w:t>
      </w:r>
    </w:p>
    <w:p w14:paraId="384E1CFF">
      <w:pPr>
        <w:pStyle w:val="6"/>
        <w:tabs>
          <w:tab w:val="left" w:pos="4275"/>
        </w:tabs>
        <w:spacing w:after="0" w:line="56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（一）一般公共服务支出（类）</w:t>
      </w:r>
    </w:p>
    <w:p w14:paraId="27BB42FF">
      <w:pPr>
        <w:pStyle w:val="6"/>
        <w:tabs>
          <w:tab w:val="left" w:pos="2671"/>
          <w:tab w:val="left" w:pos="5000"/>
          <w:tab w:val="left" w:pos="6190"/>
        </w:tabs>
        <w:spacing w:after="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一般公共服务支出（类）年初预算数为18.27万元，与上年相比增加2.92万元。其中：</w:t>
      </w:r>
    </w:p>
    <w:p w14:paraId="5605FABD">
      <w:pPr>
        <w:pStyle w:val="6"/>
        <w:tabs>
          <w:tab w:val="left" w:pos="2671"/>
          <w:tab w:val="left" w:pos="5000"/>
          <w:tab w:val="left" w:pos="6190"/>
        </w:tabs>
        <w:spacing w:after="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1.群众团体事务（款）其他群众团体事务支出（项）。年初预算18.27万元，与上年相比增加2.92万元，增加19%。变动原因是</w:t>
      </w:r>
      <w:r>
        <w:rPr>
          <w:rFonts w:hint="eastAsia" w:ascii="仿宋_GB2312" w:hAnsi="仿宋_GB2312" w:eastAsia="仿宋_GB2312" w:cs="仿宋_GB2312"/>
          <w:sz w:val="32"/>
          <w:szCs w:val="32"/>
          <w:lang w:val="en-US" w:eastAsia="zh-CN"/>
        </w:rPr>
        <w:t>我校今年计划新招聘3名教师，经费增加</w:t>
      </w:r>
      <w:r>
        <w:rPr>
          <w:rFonts w:hint="eastAsia" w:ascii="仿宋_GB2312" w:hAnsi="仿宋_GB2312" w:eastAsia="仿宋_GB2312" w:cs="仿宋_GB2312"/>
          <w:sz w:val="32"/>
          <w:szCs w:val="32"/>
        </w:rPr>
        <w:t>。</w:t>
      </w:r>
    </w:p>
    <w:p w14:paraId="5951170C">
      <w:pPr>
        <w:pStyle w:val="6"/>
        <w:tabs>
          <w:tab w:val="left" w:pos="4275"/>
        </w:tabs>
        <w:spacing w:after="0" w:line="56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（二）教育支出（类）</w:t>
      </w:r>
    </w:p>
    <w:p w14:paraId="3439DA0A">
      <w:pPr>
        <w:pStyle w:val="6"/>
        <w:tabs>
          <w:tab w:val="left" w:pos="2671"/>
          <w:tab w:val="left" w:pos="5000"/>
          <w:tab w:val="left" w:pos="6190"/>
        </w:tabs>
        <w:spacing w:after="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教育支出（类）年初预算数为1,</w:t>
      </w:r>
      <w:r>
        <w:rPr>
          <w:rFonts w:hint="eastAsia" w:ascii="仿宋_GB2312" w:hAnsi="仿宋_GB2312" w:eastAsia="仿宋_GB2312" w:cs="仿宋_GB2312"/>
          <w:sz w:val="32"/>
          <w:szCs w:val="32"/>
          <w:lang w:val="en-US" w:eastAsia="zh-CN"/>
        </w:rPr>
        <w:t>269.83</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278.80</w:t>
      </w:r>
      <w:r>
        <w:rPr>
          <w:rFonts w:hint="eastAsia" w:ascii="仿宋_GB2312" w:hAnsi="仿宋_GB2312" w:eastAsia="仿宋_GB2312" w:cs="仿宋_GB2312"/>
          <w:sz w:val="32"/>
          <w:szCs w:val="32"/>
        </w:rPr>
        <w:t>万元。其中：</w:t>
      </w:r>
    </w:p>
    <w:p w14:paraId="57D17F8F">
      <w:pPr>
        <w:pStyle w:val="6"/>
        <w:tabs>
          <w:tab w:val="left" w:pos="2671"/>
          <w:tab w:val="left" w:pos="5000"/>
          <w:tab w:val="left" w:pos="6190"/>
        </w:tabs>
        <w:spacing w:after="0"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1.普通教育（款）学前教育（项）。年初预算4.76万元，与上年相比增加4.76万元，增加100%。变动原因是</w:t>
      </w:r>
      <w:r>
        <w:rPr>
          <w:rFonts w:hint="eastAsia" w:ascii="仿宋_GB2312" w:hAnsi="仿宋_GB2312" w:eastAsia="仿宋_GB2312" w:cs="仿宋_GB2312"/>
          <w:sz w:val="32"/>
          <w:szCs w:val="32"/>
          <w:lang w:val="en-US" w:eastAsia="zh-CN"/>
        </w:rPr>
        <w:t>统计口径调整。</w:t>
      </w:r>
    </w:p>
    <w:p w14:paraId="1FC420F9">
      <w:pPr>
        <w:pStyle w:val="6"/>
        <w:tabs>
          <w:tab w:val="left" w:pos="2671"/>
          <w:tab w:val="left" w:pos="5000"/>
          <w:tab w:val="left" w:pos="6190"/>
        </w:tabs>
        <w:spacing w:after="0" w:line="600" w:lineRule="exact"/>
        <w:ind w:firstLine="640" w:firstLineChars="200"/>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2.普通教育（款）高中教育（项）。年初预算3.86万元，与上年相比增加3.86万元，增加100%。变动原因是</w:t>
      </w:r>
      <w:r>
        <w:rPr>
          <w:rFonts w:hint="eastAsia" w:ascii="仿宋_GB2312" w:hAnsi="仿宋_GB2312" w:eastAsia="仿宋_GB2312" w:cs="仿宋_GB2312"/>
          <w:sz w:val="32"/>
          <w:szCs w:val="32"/>
          <w:lang w:val="en-US" w:eastAsia="zh-CN"/>
        </w:rPr>
        <w:t>统计口径调整</w:t>
      </w:r>
    </w:p>
    <w:p w14:paraId="7DB37325">
      <w:pPr>
        <w:pStyle w:val="6"/>
        <w:tabs>
          <w:tab w:val="left" w:pos="2671"/>
          <w:tab w:val="left" w:pos="5000"/>
          <w:tab w:val="left" w:pos="6190"/>
        </w:tabs>
        <w:spacing w:after="0" w:line="600" w:lineRule="exact"/>
        <w:ind w:firstLine="640" w:firstLineChars="200"/>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3.普通教育（款）其他普通教育支出（项）。年初预算47.42万元，与上年相比增加20.38万元，增加75.37%。变动原因是</w:t>
      </w:r>
      <w:r>
        <w:rPr>
          <w:rFonts w:hint="eastAsia" w:ascii="仿宋_GB2312" w:hAnsi="仿宋_GB2312" w:eastAsia="仿宋_GB2312" w:cs="仿宋_GB2312"/>
          <w:sz w:val="32"/>
          <w:szCs w:val="32"/>
          <w:lang w:val="en-US" w:eastAsia="zh-CN"/>
        </w:rPr>
        <w:t>统计口径调整</w:t>
      </w:r>
    </w:p>
    <w:p w14:paraId="1F7A0ECF">
      <w:pPr>
        <w:pStyle w:val="6"/>
        <w:tabs>
          <w:tab w:val="left" w:pos="2671"/>
          <w:tab w:val="left" w:pos="5000"/>
          <w:tab w:val="left" w:pos="6190"/>
        </w:tabs>
        <w:spacing w:after="0" w:line="600" w:lineRule="exact"/>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4.职业教育（款）中等职业教育（项）。年初预算2.03万元，与上年相比增加2.03万元，增加100%。变动原因是</w:t>
      </w:r>
      <w:r>
        <w:rPr>
          <w:rFonts w:hint="eastAsia" w:ascii="仿宋_GB2312" w:hAnsi="仿宋_GB2312" w:eastAsia="仿宋_GB2312" w:cs="仿宋_GB2312"/>
          <w:sz w:val="32"/>
          <w:szCs w:val="32"/>
          <w:lang w:val="en-US" w:eastAsia="zh-CN"/>
        </w:rPr>
        <w:t>统计口径调整</w:t>
      </w:r>
    </w:p>
    <w:p w14:paraId="33F87924">
      <w:pPr>
        <w:pStyle w:val="6"/>
        <w:tabs>
          <w:tab w:val="left" w:pos="2671"/>
          <w:tab w:val="left" w:pos="5000"/>
          <w:tab w:val="left" w:pos="6190"/>
        </w:tabs>
        <w:spacing w:after="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.特殊教育（款）特殊学校教育（项）。年初预算1,11</w:t>
      </w:r>
      <w:r>
        <w:rPr>
          <w:rFonts w:hint="eastAsia" w:ascii="仿宋_GB2312" w:hAnsi="仿宋_GB2312" w:eastAsia="仿宋_GB2312" w:cs="仿宋_GB2312"/>
          <w:sz w:val="32"/>
          <w:szCs w:val="32"/>
          <w:lang w:val="en-US" w:eastAsia="zh-CN"/>
        </w:rPr>
        <w:t>68.77</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209.96</w:t>
      </w:r>
      <w:r>
        <w:rPr>
          <w:rFonts w:hint="eastAsia" w:ascii="仿宋_GB2312" w:hAnsi="仿宋_GB2312" w:eastAsia="仿宋_GB2312" w:cs="仿宋_GB2312"/>
          <w:sz w:val="32"/>
          <w:szCs w:val="32"/>
        </w:rPr>
        <w:t>万元，增加</w:t>
      </w:r>
      <w:r>
        <w:rPr>
          <w:rFonts w:hint="eastAsia" w:ascii="仿宋_GB2312" w:hAnsi="仿宋_GB2312" w:eastAsia="仿宋_GB2312" w:cs="仿宋_GB2312"/>
          <w:sz w:val="32"/>
          <w:szCs w:val="32"/>
          <w:lang w:val="en-US" w:eastAsia="zh-CN"/>
        </w:rPr>
        <w:t>21.90</w:t>
      </w:r>
      <w:r>
        <w:rPr>
          <w:rFonts w:hint="eastAsia" w:ascii="仿宋_GB2312" w:hAnsi="仿宋_GB2312" w:eastAsia="仿宋_GB2312" w:cs="仿宋_GB2312"/>
          <w:sz w:val="32"/>
          <w:szCs w:val="32"/>
        </w:rPr>
        <w:t>%。变动原因是</w:t>
      </w:r>
      <w:r>
        <w:rPr>
          <w:rFonts w:hint="eastAsia" w:ascii="仿宋_GB2312" w:hAnsi="仿宋_GB2312" w:eastAsia="仿宋_GB2312" w:cs="仿宋_GB2312"/>
          <w:sz w:val="32"/>
          <w:szCs w:val="32"/>
          <w:lang w:val="en-US" w:eastAsia="zh-CN"/>
        </w:rPr>
        <w:t>今年计划新招聘3名教师，人员经费增加</w:t>
      </w:r>
      <w:r>
        <w:rPr>
          <w:rFonts w:hint="eastAsia" w:ascii="仿宋_GB2312" w:hAnsi="仿宋_GB2312" w:eastAsia="仿宋_GB2312" w:cs="仿宋_GB2312"/>
          <w:sz w:val="32"/>
          <w:szCs w:val="32"/>
        </w:rPr>
        <w:t>。</w:t>
      </w:r>
    </w:p>
    <w:p w14:paraId="213961D2">
      <w:pPr>
        <w:pStyle w:val="6"/>
        <w:tabs>
          <w:tab w:val="left" w:pos="2671"/>
          <w:tab w:val="left" w:pos="5000"/>
          <w:tab w:val="left" w:pos="6190"/>
        </w:tabs>
        <w:spacing w:after="0" w:line="60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6.特殊教育（款）其他特殊教育支出（项）。年初预算43万元，与上年相比增加37.81万元，增加729.96%。变动原因是</w:t>
      </w:r>
      <w:r>
        <w:rPr>
          <w:rFonts w:hint="eastAsia" w:ascii="仿宋_GB2312" w:hAnsi="仿宋_GB2312" w:eastAsia="仿宋_GB2312" w:cs="仿宋_GB2312"/>
          <w:sz w:val="32"/>
          <w:szCs w:val="32"/>
          <w:lang w:val="en-US" w:eastAsia="zh-CN"/>
        </w:rPr>
        <w:t>增加了综合楼卫生间改造及无障碍电梯的预算。</w:t>
      </w:r>
    </w:p>
    <w:p w14:paraId="430EBA67">
      <w:pPr>
        <w:pStyle w:val="6"/>
        <w:tabs>
          <w:tab w:val="left" w:pos="4275"/>
        </w:tabs>
        <w:spacing w:after="0" w:line="56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（三）社会保障和就业支出（类）</w:t>
      </w:r>
    </w:p>
    <w:p w14:paraId="72163469">
      <w:pPr>
        <w:pStyle w:val="6"/>
        <w:tabs>
          <w:tab w:val="left" w:pos="2671"/>
          <w:tab w:val="left" w:pos="5000"/>
          <w:tab w:val="left" w:pos="6190"/>
        </w:tabs>
        <w:spacing w:after="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社会保障和就业支出（类）年初预算数为161.17万元，与上年相比减少17.42万元。其中：</w:t>
      </w:r>
    </w:p>
    <w:p w14:paraId="012B9113">
      <w:pPr>
        <w:pStyle w:val="6"/>
        <w:tabs>
          <w:tab w:val="left" w:pos="2671"/>
          <w:tab w:val="left" w:pos="5000"/>
          <w:tab w:val="left" w:pos="6190"/>
        </w:tabs>
        <w:spacing w:after="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1.行政事业单位养老支出（款）事业单位离退休（项）。年初预算18.44万元，与上年相比增加13.68万元，增加287.5%。变动原因是</w:t>
      </w:r>
      <w:r>
        <w:rPr>
          <w:rFonts w:hint="eastAsia" w:ascii="仿宋_GB2312" w:hAnsi="仿宋_GB2312" w:eastAsia="仿宋_GB2312" w:cs="仿宋_GB2312"/>
          <w:sz w:val="32"/>
          <w:szCs w:val="32"/>
          <w:lang w:val="en-US" w:eastAsia="zh-CN"/>
        </w:rPr>
        <w:t>我校2025年新增1名退休名教师，经费增加</w:t>
      </w:r>
      <w:r>
        <w:rPr>
          <w:rFonts w:hint="eastAsia" w:ascii="仿宋_GB2312" w:hAnsi="仿宋_GB2312" w:eastAsia="仿宋_GB2312" w:cs="仿宋_GB2312"/>
          <w:sz w:val="32"/>
          <w:szCs w:val="32"/>
        </w:rPr>
        <w:t>。</w:t>
      </w:r>
    </w:p>
    <w:p w14:paraId="05D1FBBC">
      <w:pPr>
        <w:pStyle w:val="6"/>
        <w:tabs>
          <w:tab w:val="left" w:pos="2671"/>
          <w:tab w:val="left" w:pos="5000"/>
          <w:tab w:val="left" w:pos="6190"/>
        </w:tabs>
        <w:spacing w:after="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2.行政事业单位养老支出（款）机关事业单位基本养老保险缴费支出（项）。年初预算119.75万元，与上年相比增加3.86万元，增加3.33%。变动原因是</w:t>
      </w:r>
      <w:r>
        <w:rPr>
          <w:rFonts w:hint="eastAsia" w:ascii="仿宋_GB2312" w:hAnsi="仿宋_GB2312" w:eastAsia="仿宋_GB2312" w:cs="仿宋_GB2312"/>
          <w:sz w:val="32"/>
          <w:szCs w:val="32"/>
          <w:lang w:eastAsia="zh-CN"/>
        </w:rPr>
        <w:t>我校今年计划新招聘3名教师，经费增加</w:t>
      </w:r>
      <w:r>
        <w:rPr>
          <w:rFonts w:hint="eastAsia" w:ascii="仿宋_GB2312" w:hAnsi="仿宋_GB2312" w:eastAsia="仿宋_GB2312" w:cs="仿宋_GB2312"/>
          <w:sz w:val="32"/>
          <w:szCs w:val="32"/>
        </w:rPr>
        <w:t>。</w:t>
      </w:r>
    </w:p>
    <w:p w14:paraId="072421FD">
      <w:pPr>
        <w:pStyle w:val="6"/>
        <w:tabs>
          <w:tab w:val="left" w:pos="2671"/>
          <w:tab w:val="left" w:pos="5000"/>
          <w:tab w:val="left" w:pos="6190"/>
        </w:tabs>
        <w:spacing w:after="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3.行政事业单位养老支出（款）机关事业单位职业年金缴费支出（项）。年初预算22.99万元，与上年相比减少34.96万元，减少60.33%。变动原因是</w:t>
      </w:r>
      <w:r>
        <w:rPr>
          <w:rFonts w:hint="eastAsia" w:ascii="仿宋_GB2312" w:hAnsi="仿宋_GB2312" w:eastAsia="仿宋_GB2312" w:cs="仿宋_GB2312"/>
          <w:sz w:val="32"/>
          <w:szCs w:val="32"/>
          <w:lang w:val="en-US" w:eastAsia="zh-CN"/>
        </w:rPr>
        <w:t>我校2025年新增1名退休名教师，故上年度职业年金支出比今年多</w:t>
      </w:r>
      <w:r>
        <w:rPr>
          <w:rFonts w:hint="eastAsia" w:ascii="仿宋_GB2312" w:hAnsi="仿宋_GB2312" w:eastAsia="仿宋_GB2312" w:cs="仿宋_GB2312"/>
          <w:sz w:val="32"/>
          <w:szCs w:val="32"/>
        </w:rPr>
        <w:t>。</w:t>
      </w:r>
    </w:p>
    <w:p w14:paraId="53254A72">
      <w:pPr>
        <w:pStyle w:val="6"/>
        <w:tabs>
          <w:tab w:val="left" w:pos="4275"/>
        </w:tabs>
        <w:spacing w:after="0" w:line="56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（四）卫生健康支出（类）</w:t>
      </w:r>
    </w:p>
    <w:p w14:paraId="1AD5C7DD">
      <w:pPr>
        <w:pStyle w:val="6"/>
        <w:tabs>
          <w:tab w:val="left" w:pos="2671"/>
          <w:tab w:val="left" w:pos="5000"/>
          <w:tab w:val="left" w:pos="6190"/>
        </w:tabs>
        <w:spacing w:after="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卫生健康支出（类）年初预算数为66.18万元，与上年相比增加8.59万元。其中：</w:t>
      </w:r>
    </w:p>
    <w:p w14:paraId="5B6CE6CE">
      <w:pPr>
        <w:pStyle w:val="6"/>
        <w:tabs>
          <w:tab w:val="left" w:pos="2671"/>
          <w:tab w:val="left" w:pos="5000"/>
          <w:tab w:val="left" w:pos="6190"/>
        </w:tabs>
        <w:spacing w:after="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1.行政事业单位医疗（款）事业单位医疗（项）。年初预算66.18万元，与上年相比增加8.59万元，增加14.92%。变动原因是</w:t>
      </w:r>
      <w:r>
        <w:rPr>
          <w:rFonts w:hint="eastAsia" w:ascii="仿宋_GB2312" w:hAnsi="仿宋_GB2312" w:eastAsia="仿宋_GB2312" w:cs="仿宋_GB2312"/>
          <w:sz w:val="32"/>
          <w:szCs w:val="32"/>
          <w:lang w:eastAsia="zh-CN"/>
        </w:rPr>
        <w:t>我校今年计划新招聘3名教师，经费增加。</w:t>
      </w:r>
    </w:p>
    <w:p w14:paraId="32416CC3">
      <w:pPr>
        <w:pStyle w:val="6"/>
        <w:tabs>
          <w:tab w:val="left" w:pos="4275"/>
        </w:tabs>
        <w:spacing w:after="0" w:line="56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（五）住房保障支出（类）</w:t>
      </w:r>
    </w:p>
    <w:p w14:paraId="5546910A">
      <w:pPr>
        <w:pStyle w:val="6"/>
        <w:tabs>
          <w:tab w:val="left" w:pos="2671"/>
          <w:tab w:val="left" w:pos="5000"/>
          <w:tab w:val="left" w:pos="6190"/>
        </w:tabs>
        <w:spacing w:after="0"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住房保障支出（类）年初预算数为105.46万元，与上年相比增加13.32万元。其中：</w:t>
      </w:r>
    </w:p>
    <w:p w14:paraId="48944A79">
      <w:pPr>
        <w:pStyle w:val="6"/>
        <w:tabs>
          <w:tab w:val="left" w:pos="2671"/>
          <w:tab w:val="left" w:pos="5000"/>
          <w:tab w:val="left" w:pos="6190"/>
        </w:tabs>
        <w:spacing w:after="0" w:line="60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1.住房改革支出（款）住房公积金（项）。年初预算105.46万元，与上年相比增加13.32万元，增加14.46%。变动原因是</w:t>
      </w:r>
      <w:r>
        <w:rPr>
          <w:rFonts w:hint="eastAsia" w:ascii="仿宋_GB2312" w:hAnsi="仿宋_GB2312" w:eastAsia="仿宋_GB2312" w:cs="仿宋_GB2312"/>
          <w:sz w:val="32"/>
          <w:szCs w:val="32"/>
          <w:lang w:eastAsia="zh-CN"/>
        </w:rPr>
        <w:t>我</w:t>
      </w:r>
      <w:r>
        <w:rPr>
          <w:rFonts w:hint="eastAsia" w:ascii="仿宋_GB2312" w:hAnsi="仿宋_GB2312" w:eastAsia="仿宋_GB2312" w:cs="仿宋_GB2312"/>
          <w:sz w:val="32"/>
          <w:szCs w:val="32"/>
          <w:lang w:val="en-US" w:eastAsia="zh-CN"/>
        </w:rPr>
        <w:t>校</w:t>
      </w:r>
      <w:r>
        <w:rPr>
          <w:rFonts w:hint="eastAsia" w:ascii="仿宋_GB2312" w:hAnsi="仿宋_GB2312" w:eastAsia="仿宋_GB2312" w:cs="仿宋_GB2312"/>
          <w:sz w:val="32"/>
          <w:szCs w:val="32"/>
          <w:lang w:eastAsia="zh-CN"/>
        </w:rPr>
        <w:t>今年计划新招聘3名教师，经费增加。</w:t>
      </w:r>
    </w:p>
    <w:p w14:paraId="448673E0">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六、一般公共预算基本支出预算情况说明</w:t>
      </w:r>
    </w:p>
    <w:p w14:paraId="53BA267C">
      <w:pPr>
        <w:pStyle w:val="6"/>
        <w:tabs>
          <w:tab w:val="left" w:pos="2671"/>
          <w:tab w:val="left" w:pos="5000"/>
          <w:tab w:val="left" w:pos="6190"/>
        </w:tabs>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乌海市特殊教育学校单位2026年度一般公共预算财政拨款基本支出预算1,</w:t>
      </w:r>
      <w:r>
        <w:rPr>
          <w:rFonts w:hint="eastAsia" w:ascii="仿宋_GB2312" w:hAnsi="仿宋_GB2312" w:eastAsia="仿宋_GB2312" w:cs="仿宋_GB2312"/>
          <w:sz w:val="32"/>
          <w:szCs w:val="32"/>
          <w:lang w:val="en-US" w:eastAsia="zh-CN"/>
        </w:rPr>
        <w:t>401.38</w:t>
      </w:r>
      <w:r>
        <w:rPr>
          <w:rFonts w:hint="eastAsia" w:ascii="仿宋_GB2312" w:hAnsi="仿宋_GB2312" w:eastAsia="仿宋_GB2312" w:cs="仿宋_GB2312"/>
          <w:sz w:val="32"/>
          <w:szCs w:val="32"/>
        </w:rPr>
        <w:t>万元，其中：</w:t>
      </w:r>
    </w:p>
    <w:p w14:paraId="27634175">
      <w:pPr>
        <w:pStyle w:val="6"/>
        <w:tabs>
          <w:tab w:val="left" w:pos="2671"/>
          <w:tab w:val="left" w:pos="5000"/>
          <w:tab w:val="left" w:pos="6190"/>
        </w:tabs>
        <w:spacing w:after="0"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（一）人员经费1,245.89万元。</w:t>
      </w:r>
      <w:r>
        <w:rPr>
          <w:rFonts w:hint="eastAsia" w:ascii="仿宋_GB2312" w:hAnsi="仿宋_GB2312" w:eastAsia="仿宋_GB2312" w:cs="仿宋_GB2312"/>
          <w:sz w:val="32"/>
          <w:szCs w:val="32"/>
        </w:rPr>
        <w:t>主要包括：基本工资324.95万元、津贴补贴172.4万元、奖金60.22万元、绩效工资349.08万元、机关事业单位基本养老保险缴费119.75万元、职业年金缴费22.99万元、职工基本医疗保险缴费65.91万元、其他社会保障缴费7.02万元、住房公积金105.46万元、其他工资福利支出0.05万元、退休费17.76万元、其他对个人和家庭的补助0.3万元。</w:t>
      </w:r>
    </w:p>
    <w:p w14:paraId="29D72D70">
      <w:pPr>
        <w:pStyle w:val="6"/>
        <w:tabs>
          <w:tab w:val="left" w:pos="2671"/>
          <w:tab w:val="left" w:pos="5000"/>
          <w:tab w:val="left" w:pos="6190"/>
        </w:tabs>
        <w:spacing w:after="0"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（二）公用经费155.49万元。</w:t>
      </w:r>
      <w:r>
        <w:rPr>
          <w:rFonts w:hint="eastAsia" w:ascii="仿宋_GB2312" w:hAnsi="仿宋_GB2312" w:eastAsia="仿宋_GB2312" w:cs="仿宋_GB2312"/>
          <w:sz w:val="32"/>
          <w:szCs w:val="32"/>
        </w:rPr>
        <w:t>主要包括：办公费5万元、印刷费0.2万元、手续费0.05万元、水费5万元、电费2万元、邮电费0.54万元、物业管理费43.78万元、差旅费1.5万元、维修（护）费5万元、培训费27.84万元、专用材料费5万元、委托业务费1.41万元、工会经费18.27万元、其他交通费用0.5万元、其他商品和服务支出39.39万元。</w:t>
      </w:r>
    </w:p>
    <w:p w14:paraId="5295A857">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七、一般公共预算“三公”经费支出预算情况说明</w:t>
      </w:r>
    </w:p>
    <w:p w14:paraId="7FDD33D5">
      <w:pPr>
        <w:pStyle w:val="6"/>
        <w:tabs>
          <w:tab w:val="left" w:pos="2671"/>
          <w:tab w:val="left" w:pos="5000"/>
          <w:tab w:val="left" w:pos="6190"/>
        </w:tabs>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乌海市特殊教育学校单位2026年度一般公共预算拨款安排的三公经费预算支出0万元，其中因公出国（境）费支出0万元，占0%；公务用车购置及运行维护费支出0万元，占0%；公务接待费支出0万元，占0%。具体情况如下：</w:t>
      </w:r>
    </w:p>
    <w:p w14:paraId="641A6D7C">
      <w:pPr>
        <w:pStyle w:val="6"/>
        <w:tabs>
          <w:tab w:val="left" w:pos="2671"/>
          <w:tab w:val="left" w:pos="5000"/>
          <w:tab w:val="left" w:pos="6190"/>
        </w:tabs>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一般公共预算拨款安排的“三公”经费预算支出0万元，比上年预算增加0万元，增加0%；其中：</w:t>
      </w:r>
    </w:p>
    <w:p w14:paraId="64E718AB">
      <w:pPr>
        <w:pStyle w:val="6"/>
        <w:tabs>
          <w:tab w:val="left" w:pos="2671"/>
          <w:tab w:val="left" w:pos="5000"/>
          <w:tab w:val="left" w:pos="6190"/>
        </w:tabs>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1．因公出国（境）费预算支出0万元，比上年预算增加0万元，主要原因不存在此项内容。</w:t>
      </w:r>
    </w:p>
    <w:p w14:paraId="10AA442C">
      <w:pPr>
        <w:pStyle w:val="6"/>
        <w:tabs>
          <w:tab w:val="left" w:pos="2671"/>
          <w:tab w:val="left" w:pos="5000"/>
          <w:tab w:val="left" w:pos="6190"/>
        </w:tabs>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2．公务用车购置及运行维护费预算支出0万元。其中：</w:t>
      </w:r>
    </w:p>
    <w:p w14:paraId="6F05FC9C">
      <w:pPr>
        <w:pStyle w:val="6"/>
        <w:tabs>
          <w:tab w:val="left" w:pos="2671"/>
          <w:tab w:val="left" w:pos="5000"/>
          <w:tab w:val="left" w:pos="6190"/>
        </w:tabs>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（1）公务用车购置预算支出0万元，比上年预算增加0万元，主要原因不存在此项内容。</w:t>
      </w:r>
    </w:p>
    <w:p w14:paraId="53B8E874">
      <w:pPr>
        <w:pStyle w:val="6"/>
        <w:tabs>
          <w:tab w:val="left" w:pos="2671"/>
          <w:tab w:val="left" w:pos="5000"/>
          <w:tab w:val="left" w:pos="6190"/>
        </w:tabs>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（2）公务用车运行维护费预算支出0万元，比上年预算增加0万元，主要原因不存在此项内容。</w:t>
      </w:r>
    </w:p>
    <w:p w14:paraId="77BA86AD">
      <w:pPr>
        <w:pStyle w:val="6"/>
        <w:tabs>
          <w:tab w:val="left" w:pos="2671"/>
          <w:tab w:val="left" w:pos="5000"/>
          <w:tab w:val="left" w:pos="6190"/>
        </w:tabs>
        <w:spacing w:after="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3．公务接待费预算支出0万元，比上年预算增加0万元，主要原因不存在此项内容。</w:t>
      </w:r>
    </w:p>
    <w:p w14:paraId="6579DD05">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八、政府性基金预算支出预算情况说明</w:t>
      </w:r>
    </w:p>
    <w:p w14:paraId="3ABF28D5">
      <w:pPr>
        <w:pStyle w:val="6"/>
        <w:spacing w:after="0" w:line="600" w:lineRule="exact"/>
        <w:ind w:left="17" w:leftChars="8" w:firstLine="640" w:firstLineChars="200"/>
        <w:rPr>
          <w:rFonts w:eastAsia="仿宋_GB2312"/>
          <w:sz w:val="32"/>
          <w:szCs w:val="32"/>
        </w:rPr>
      </w:pPr>
      <w:r>
        <w:rPr>
          <w:rFonts w:hint="eastAsia" w:ascii="仿宋_GB2312" w:hAnsi="仿宋_GB2312" w:eastAsia="仿宋_GB2312" w:cs="仿宋_GB2312"/>
          <w:sz w:val="32"/>
          <w:szCs w:val="32"/>
        </w:rPr>
        <w:t>乌海市特殊教育学校单位2026年度政府性基金支出预算支出0万元。与上年相比增加0万元，增加0%。主要原因</w:t>
      </w:r>
      <w:r>
        <w:rPr>
          <w:rFonts w:hint="eastAsia" w:ascii="Times New Roman" w:hAnsi="Times New Roman" w:eastAsia="仿宋_GB2312" w:cs="仿宋"/>
          <w:sz w:val="32"/>
          <w:szCs w:val="32"/>
          <w:highlight w:val="none"/>
        </w:rPr>
        <w:t>本年无政府性基金预算支出</w:t>
      </w:r>
      <w:r>
        <w:rPr>
          <w:rFonts w:hint="eastAsia" w:ascii="仿宋_GB2312" w:hAnsi="仿宋_GB2312" w:eastAsia="仿宋_GB2312" w:cs="仿宋_GB2312"/>
          <w:sz w:val="32"/>
          <w:szCs w:val="32"/>
        </w:rPr>
        <w:t>。</w:t>
      </w:r>
    </w:p>
    <w:p w14:paraId="0B159293">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九、国有资本经营预算支出预算情况说明</w:t>
      </w:r>
    </w:p>
    <w:p w14:paraId="778E7DE9">
      <w:pPr>
        <w:widowControl/>
        <w:spacing w:line="560" w:lineRule="exact"/>
        <w:ind w:firstLine="640" w:firstLineChars="200"/>
        <w:jc w:val="left"/>
        <w:rPr>
          <w:rFonts w:ascii="仿宋_GB2312" w:hAnsi="仿宋_GB2312" w:eastAsia="仿宋_GB2312" w:cs="仿宋_GB2312"/>
          <w:kern w:val="0"/>
          <w:sz w:val="32"/>
          <w:szCs w:val="32"/>
          <w:lang w:bidi="ar"/>
        </w:rPr>
      </w:pPr>
      <w:r>
        <w:rPr>
          <w:rFonts w:hint="eastAsia" w:ascii="仿宋_GB2312" w:hAnsi="仿宋_GB2312" w:eastAsia="仿宋_GB2312" w:cs="仿宋_GB2312"/>
          <w:sz w:val="32"/>
          <w:szCs w:val="32"/>
        </w:rPr>
        <w:t>乌海市特殊教育学校单位2026年</w:t>
      </w:r>
      <w:r>
        <w:rPr>
          <w:rFonts w:hint="eastAsia" w:ascii="仿宋_GB2312" w:hAnsi="仿宋_GB2312" w:eastAsia="仿宋_GB2312" w:cs="仿宋_GB2312"/>
          <w:kern w:val="0"/>
          <w:sz w:val="32"/>
          <w:szCs w:val="32"/>
          <w:lang w:bidi="ar"/>
        </w:rPr>
        <w:t>国有资本经营预算拨款</w:t>
      </w:r>
      <w:r>
        <w:rPr>
          <w:rFonts w:hint="eastAsia" w:ascii="仿宋_GB2312" w:hAnsi="仿宋_GB2312" w:eastAsia="仿宋_GB2312" w:cs="仿宋_GB2312"/>
          <w:sz w:val="32"/>
          <w:szCs w:val="32"/>
        </w:rPr>
        <w:t>0</w:t>
      </w:r>
      <w:r>
        <w:rPr>
          <w:rFonts w:hint="eastAsia" w:ascii="仿宋_GB2312" w:hAnsi="仿宋_GB2312" w:eastAsia="仿宋_GB2312" w:cs="仿宋_GB2312"/>
          <w:kern w:val="0"/>
          <w:sz w:val="32"/>
          <w:szCs w:val="32"/>
          <w:lang w:bidi="ar"/>
        </w:rPr>
        <w:t>元，与上年比较,</w:t>
      </w:r>
      <w:r>
        <w:rPr>
          <w:rFonts w:hint="eastAsia" w:ascii="仿宋_GB2312" w:hAnsi="仿宋_GB2312" w:eastAsia="仿宋_GB2312" w:cs="仿宋_GB2312"/>
          <w:sz w:val="32"/>
          <w:szCs w:val="32"/>
        </w:rPr>
        <w:t>增加0</w:t>
      </w:r>
      <w:r>
        <w:rPr>
          <w:rFonts w:hint="eastAsia" w:ascii="仿宋_GB2312" w:hAnsi="仿宋_GB2312" w:eastAsia="仿宋_GB2312" w:cs="仿宋_GB2312"/>
          <w:kern w:val="0"/>
          <w:sz w:val="32"/>
          <w:szCs w:val="32"/>
          <w:lang w:bidi="ar"/>
        </w:rPr>
        <w:t>万元增长了</w:t>
      </w:r>
      <w:r>
        <w:rPr>
          <w:rFonts w:hint="eastAsia" w:ascii="仿宋_GB2312" w:hAnsi="仿宋_GB2312" w:eastAsia="仿宋_GB2312" w:cs="仿宋_GB2312"/>
          <w:sz w:val="32"/>
          <w:szCs w:val="32"/>
        </w:rPr>
        <w:t>0</w:t>
      </w:r>
      <w:r>
        <w:rPr>
          <w:rFonts w:hint="eastAsia" w:ascii="仿宋_GB2312" w:hAnsi="仿宋_GB2312" w:eastAsia="仿宋_GB2312" w:cs="仿宋_GB2312"/>
          <w:kern w:val="0"/>
          <w:sz w:val="32"/>
          <w:szCs w:val="32"/>
          <w:lang w:bidi="ar"/>
        </w:rPr>
        <w:t>%。</w:t>
      </w:r>
      <w:r>
        <w:rPr>
          <w:rFonts w:eastAsia="仿宋_GB2312"/>
          <w:sz w:val="32"/>
          <w:szCs w:val="32"/>
        </w:rPr>
        <w:t>主要原因</w:t>
      </w:r>
      <w:r>
        <w:rPr>
          <w:rFonts w:hint="eastAsia" w:eastAsia="仿宋_GB2312"/>
          <w:sz w:val="32"/>
          <w:szCs w:val="32"/>
        </w:rPr>
        <w:t>我单位无国有资本经营预算拨款预算，无此项支出</w:t>
      </w:r>
      <w:r>
        <w:rPr>
          <w:rFonts w:hint="eastAsia" w:ascii="仿宋_GB2312" w:hAnsi="仿宋_GB2312" w:eastAsia="仿宋_GB2312" w:cs="仿宋_GB2312"/>
          <w:kern w:val="0"/>
          <w:sz w:val="32"/>
          <w:szCs w:val="32"/>
          <w:lang w:bidi="ar"/>
        </w:rPr>
        <w:t>。</w:t>
      </w:r>
    </w:p>
    <w:p w14:paraId="0E8D593E">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十、项目支出预算情况说明</w:t>
      </w:r>
    </w:p>
    <w:p w14:paraId="064224D2">
      <w:pPr>
        <w:widowControl/>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乌海市特殊教育学校单位2026年度预算安排项目</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个，项目预算总金额</w:t>
      </w:r>
      <w:r>
        <w:rPr>
          <w:rFonts w:hint="eastAsia" w:ascii="仿宋_GB2312" w:hAnsi="仿宋_GB2312" w:eastAsia="仿宋_GB2312" w:cs="仿宋_GB2312"/>
          <w:sz w:val="32"/>
          <w:szCs w:val="32"/>
          <w:lang w:val="en-US" w:eastAsia="zh-CN"/>
        </w:rPr>
        <w:t>219.52</w:t>
      </w:r>
      <w:r>
        <w:rPr>
          <w:rFonts w:hint="eastAsia" w:ascii="仿宋_GB2312" w:hAnsi="仿宋_GB2312" w:eastAsia="仿宋_GB2312" w:cs="仿宋_GB2312"/>
          <w:sz w:val="32"/>
          <w:szCs w:val="32"/>
        </w:rPr>
        <w:t>万元。其中，财政本年拨款金额71万元，财政拨款结转结余</w:t>
      </w:r>
      <w:r>
        <w:rPr>
          <w:rFonts w:hint="eastAsia" w:ascii="仿宋_GB2312" w:hAnsi="仿宋_GB2312" w:eastAsia="仿宋_GB2312" w:cs="仿宋_GB2312"/>
          <w:sz w:val="32"/>
          <w:szCs w:val="32"/>
          <w:lang w:val="en-US" w:eastAsia="zh-CN"/>
        </w:rPr>
        <w:t>148.52</w:t>
      </w:r>
      <w:r>
        <w:rPr>
          <w:rFonts w:hint="eastAsia" w:ascii="仿宋_GB2312" w:hAnsi="仿宋_GB2312" w:eastAsia="仿宋_GB2312" w:cs="仿宋_GB2312"/>
          <w:sz w:val="32"/>
          <w:szCs w:val="32"/>
        </w:rPr>
        <w:t>万元，财政专户管理资金0万元，单位资金0万元。</w:t>
      </w:r>
    </w:p>
    <w:p w14:paraId="6A6B68EB">
      <w:pPr>
        <w:pStyle w:val="2"/>
        <w:rPr>
          <w:rFonts w:hint="eastAsia"/>
        </w:rPr>
      </w:pPr>
    </w:p>
    <w:p w14:paraId="5D4F94BC">
      <w:pPr>
        <w:keepNext w:val="0"/>
        <w:keepLines w:val="0"/>
        <w:pageBreakBefore w:val="0"/>
        <w:widowControl/>
        <w:kinsoku/>
        <w:wordWrap/>
        <w:overflowPunct/>
        <w:topLinePunct w:val="0"/>
        <w:autoSpaceDE/>
        <w:autoSpaceDN/>
        <w:bidi w:val="0"/>
        <w:adjustRightInd/>
        <w:snapToGrid/>
        <w:spacing w:line="560" w:lineRule="exact"/>
        <w:ind w:left="0" w:leftChars="0" w:firstLine="723" w:firstLineChars="200"/>
        <w:jc w:val="center"/>
        <w:textAlignment w:val="auto"/>
        <w:rPr>
          <w:rFonts w:hint="eastAsia" w:ascii="仿宋_GB2312" w:eastAsia="仿宋_GB2312"/>
          <w:color w:val="auto"/>
          <w:sz w:val="36"/>
          <w:szCs w:val="32"/>
        </w:rPr>
      </w:pPr>
      <w:r>
        <w:rPr>
          <w:rFonts w:hint="eastAsia" w:ascii="仿宋_GB2312" w:hAnsi="仿宋" w:eastAsia="仿宋_GB2312" w:cs="仿宋"/>
          <w:b/>
          <w:bCs/>
          <w:color w:val="auto"/>
          <w:kern w:val="0"/>
          <w:sz w:val="36"/>
          <w:szCs w:val="32"/>
          <w:lang w:bidi="ar"/>
        </w:rPr>
        <w:t>第三部分 其他公开事项说明</w:t>
      </w:r>
    </w:p>
    <w:p w14:paraId="6B5865A5">
      <w:pPr>
        <w:pStyle w:val="2"/>
        <w:ind w:left="0" w:leftChars="0" w:firstLine="0" w:firstLineChars="0"/>
        <w:rPr>
          <w:rFonts w:hint="eastAsia" w:ascii="仿宋_GB2312" w:hAnsi="仿宋_GB2312" w:eastAsia="仿宋_GB2312" w:cs="仿宋_GB2312"/>
          <w:sz w:val="32"/>
          <w:szCs w:val="32"/>
        </w:rPr>
      </w:pPr>
    </w:p>
    <w:p w14:paraId="59D72B4A">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lang w:eastAsia="zh-CN"/>
        </w:rPr>
      </w:pPr>
      <w:r>
        <w:rPr>
          <w:rFonts w:hint="eastAsia" w:ascii="黑体" w:hAnsi="黑体" w:eastAsia="黑体" w:cs="仿宋"/>
          <w:bCs/>
          <w:color w:val="auto"/>
          <w:kern w:val="0"/>
          <w:sz w:val="32"/>
          <w:szCs w:val="32"/>
          <w:lang w:bidi="ar"/>
        </w:rPr>
        <w:t>一</w:t>
      </w:r>
      <w:r>
        <w:rPr>
          <w:rFonts w:hint="eastAsia" w:ascii="黑体" w:hAnsi="黑体" w:eastAsia="黑体" w:cs="仿宋"/>
          <w:bCs/>
          <w:color w:val="auto"/>
          <w:kern w:val="0"/>
          <w:sz w:val="32"/>
          <w:szCs w:val="32"/>
          <w:lang w:eastAsia="zh-CN" w:bidi="ar"/>
        </w:rPr>
        <w:t>、</w:t>
      </w:r>
      <w:r>
        <w:rPr>
          <w:rFonts w:hint="eastAsia" w:ascii="黑体" w:hAnsi="黑体" w:eastAsia="黑体" w:cs="仿宋"/>
          <w:bCs/>
          <w:color w:val="auto"/>
          <w:kern w:val="0"/>
          <w:sz w:val="32"/>
          <w:szCs w:val="32"/>
          <w:lang w:bidi="ar"/>
        </w:rPr>
        <w:t>机关运行经费安排情况说明</w:t>
      </w:r>
    </w:p>
    <w:p w14:paraId="4CDB52E1">
      <w:pPr>
        <w:spacing w:line="600" w:lineRule="exact"/>
        <w:ind w:left="0" w:leftChars="0" w:firstLine="640" w:firstLineChars="200"/>
        <w:outlineLvl w:val="2"/>
        <w:rPr>
          <w:rFonts w:hint="eastAsia" w:ascii="仿宋_GB2312" w:hAnsi="仿宋" w:eastAsia="仿宋_GB2312" w:cs="仿宋"/>
          <w:color w:val="auto"/>
          <w:kern w:val="0"/>
          <w:sz w:val="32"/>
          <w:szCs w:val="32"/>
          <w:lang w:bidi="ar"/>
        </w:rPr>
      </w:pPr>
      <w:r>
        <w:rPr>
          <w:rFonts w:hint="eastAsia" w:ascii="仿宋_GB2312" w:hAnsi="仿宋" w:eastAsia="仿宋_GB2312" w:cs="仿宋"/>
          <w:color w:val="auto"/>
          <w:kern w:val="0"/>
          <w:sz w:val="32"/>
          <w:szCs w:val="32"/>
          <w:lang w:bidi="ar"/>
        </w:rPr>
        <w:t>机关运行经费，是指各部门的公用经费，包括办公及印刷费、邮电费、差旅费、会议费、福利费、日常维修费、专业材料及一般设备购置费、办公用房水电费、办公用房取暖费、办公用房物业管理费、公务用车运行维护费以及其他费用等。</w:t>
      </w:r>
    </w:p>
    <w:p w14:paraId="52FAECA1">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 w:eastAsia="仿宋_GB2312" w:cs="仿宋"/>
          <w:color w:val="auto"/>
          <w:kern w:val="0"/>
          <w:sz w:val="32"/>
          <w:szCs w:val="32"/>
          <w:lang w:eastAsia="zh-CN" w:bidi="ar"/>
        </w:rPr>
      </w:pPr>
      <w:r>
        <w:rPr>
          <w:rFonts w:hint="eastAsia" w:ascii="仿宋_GB2312" w:hAnsi="仿宋" w:eastAsia="仿宋_GB2312" w:cs="仿宋"/>
          <w:color w:val="auto"/>
          <w:kern w:val="0"/>
          <w:sz w:val="32"/>
          <w:szCs w:val="32"/>
          <w:lang w:val="en-US" w:eastAsia="zh-CN" w:bidi="ar"/>
        </w:rPr>
        <w:t>2026</w:t>
      </w:r>
      <w:r>
        <w:rPr>
          <w:rFonts w:hint="eastAsia" w:ascii="仿宋_GB2312" w:hAnsi="仿宋" w:eastAsia="仿宋_GB2312" w:cs="仿宋"/>
          <w:color w:val="auto"/>
          <w:kern w:val="0"/>
          <w:sz w:val="32"/>
          <w:szCs w:val="32"/>
          <w:lang w:eastAsia="zh-CN" w:bidi="ar"/>
        </w:rPr>
        <w:t>年</w:t>
      </w:r>
      <w:r>
        <w:rPr>
          <w:rFonts w:hint="eastAsia" w:ascii="仿宋_GB2312" w:hAnsi="仿宋" w:eastAsia="仿宋_GB2312" w:cs="仿宋"/>
          <w:color w:val="auto"/>
          <w:kern w:val="0"/>
          <w:sz w:val="32"/>
          <w:szCs w:val="32"/>
          <w:lang w:bidi="ar"/>
        </w:rPr>
        <w:t>我</w:t>
      </w:r>
      <w:r>
        <w:rPr>
          <w:rFonts w:hint="eastAsia" w:ascii="仿宋_GB2312" w:hAnsi="仿宋" w:eastAsia="仿宋_GB2312" w:cs="仿宋"/>
          <w:color w:val="auto"/>
          <w:kern w:val="0"/>
          <w:sz w:val="32"/>
          <w:szCs w:val="32"/>
          <w:lang w:val="en-US" w:eastAsia="zh-CN" w:bidi="ar"/>
        </w:rPr>
        <w:t>单位无</w:t>
      </w:r>
      <w:r>
        <w:rPr>
          <w:rFonts w:hint="eastAsia" w:ascii="仿宋_GB2312" w:hAnsi="仿宋" w:eastAsia="仿宋_GB2312" w:cs="仿宋"/>
          <w:color w:val="auto"/>
          <w:kern w:val="0"/>
          <w:sz w:val="32"/>
          <w:szCs w:val="32"/>
          <w:lang w:bidi="ar"/>
        </w:rPr>
        <w:t>机关运行经费财政拨款</w:t>
      </w:r>
      <w:r>
        <w:rPr>
          <w:rFonts w:hint="eastAsia" w:ascii="仿宋_GB2312" w:hAnsi="仿宋" w:eastAsia="仿宋_GB2312" w:cs="仿宋"/>
          <w:color w:val="auto"/>
          <w:kern w:val="0"/>
          <w:sz w:val="32"/>
          <w:szCs w:val="32"/>
          <w:lang w:eastAsia="zh-CN" w:bidi="ar"/>
        </w:rPr>
        <w:t>。</w:t>
      </w:r>
    </w:p>
    <w:p w14:paraId="1E7828C1">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s="仿宋"/>
          <w:bCs/>
          <w:color w:val="auto"/>
          <w:kern w:val="0"/>
          <w:sz w:val="32"/>
          <w:szCs w:val="32"/>
          <w:lang w:val="en-US" w:eastAsia="zh-CN" w:bidi="ar"/>
        </w:rPr>
      </w:pPr>
      <w:r>
        <w:rPr>
          <w:rFonts w:hint="eastAsia" w:ascii="黑体" w:hAnsi="黑体" w:eastAsia="黑体" w:cs="仿宋"/>
          <w:bCs/>
          <w:color w:val="auto"/>
          <w:kern w:val="0"/>
          <w:sz w:val="32"/>
          <w:szCs w:val="32"/>
          <w:lang w:val="en-US" w:eastAsia="zh-CN" w:bidi="ar"/>
        </w:rPr>
        <w:t>二、事业运行经费安排情况说明</w:t>
      </w:r>
    </w:p>
    <w:p w14:paraId="662F6BA3">
      <w:pPr>
        <w:spacing w:line="600" w:lineRule="exact"/>
        <w:ind w:left="0" w:leftChars="0" w:firstLine="640" w:firstLineChars="200"/>
        <w:outlineLvl w:val="2"/>
        <w:rPr>
          <w:rFonts w:hint="eastAsia" w:ascii="仿宋_GB2312" w:hAnsi="仿宋" w:eastAsia="仿宋_GB2312" w:cs="仿宋"/>
          <w:color w:val="auto"/>
          <w:kern w:val="0"/>
          <w:sz w:val="32"/>
          <w:szCs w:val="32"/>
          <w:lang w:val="en-US" w:eastAsia="zh-CN" w:bidi="ar"/>
        </w:rPr>
      </w:pPr>
      <w:r>
        <w:rPr>
          <w:rFonts w:hint="eastAsia" w:ascii="仿宋_GB2312" w:hAnsi="仿宋" w:eastAsia="仿宋_GB2312" w:cs="仿宋"/>
          <w:color w:val="auto"/>
          <w:kern w:val="0"/>
          <w:sz w:val="32"/>
          <w:szCs w:val="32"/>
          <w:lang w:val="en-US" w:eastAsia="zh-CN" w:bidi="ar"/>
        </w:rPr>
        <w:t>事业运行经费，是指各事业单位的公用经费，包括办公及印刷费、邮电费、差旅费、会议费、福利费、日常维修费、专业材料及一般设备购置费、办公用房水电费、办公用房取暖</w:t>
      </w:r>
      <w:r>
        <w:rPr>
          <w:rFonts w:hint="eastAsia" w:ascii="仿宋_GB2312" w:hAnsi="仿宋" w:eastAsia="仿宋_GB2312" w:cs="仿宋"/>
          <w:color w:val="auto"/>
          <w:kern w:val="0"/>
          <w:sz w:val="32"/>
          <w:szCs w:val="32"/>
          <w:lang w:bidi="ar"/>
        </w:rPr>
        <w:t>费、办公用</w:t>
      </w:r>
      <w:r>
        <w:rPr>
          <w:rFonts w:hint="eastAsia" w:ascii="仿宋_GB2312" w:hAnsi="仿宋" w:eastAsia="仿宋_GB2312" w:cs="仿宋"/>
          <w:color w:val="auto"/>
          <w:kern w:val="0"/>
          <w:sz w:val="32"/>
          <w:szCs w:val="32"/>
          <w:lang w:val="en-US" w:eastAsia="zh-CN" w:bidi="ar"/>
        </w:rPr>
        <w:t>房物业管理费、公务用车运行维护费以及其他费用。</w:t>
      </w:r>
    </w:p>
    <w:p w14:paraId="30F2FCA5">
      <w:pPr>
        <w:widowControl/>
        <w:spacing w:line="56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2026年我单位事业运行经费财政拨款预算155.49万元，其中：</w:t>
      </w:r>
    </w:p>
    <w:p w14:paraId="56DD09E3">
      <w:pPr>
        <w:widowControl/>
        <w:spacing w:line="56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302商品和服务支出类</w:t>
      </w:r>
      <w:r>
        <w:rPr>
          <w:rFonts w:hint="eastAsia" w:ascii="仿宋_GB2312" w:hAnsi="仿宋_GB2312" w:eastAsia="仿宋_GB2312" w:cs="仿宋_GB2312"/>
          <w:sz w:val="32"/>
          <w:szCs w:val="32"/>
        </w:rPr>
        <w:t>：办公费5.00</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印刷费0.20</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手续费0.05</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水费5.00</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电费2.00</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邮电费0.54</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物业管理费43.78</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差旅</w:t>
      </w:r>
      <w:r>
        <w:rPr>
          <w:rFonts w:hint="eastAsia" w:ascii="仿宋_GB2312" w:hAnsi="仿宋_GB2312" w:eastAsia="仿宋_GB2312" w:cs="仿宋_GB2312"/>
          <w:sz w:val="32"/>
          <w:szCs w:val="32"/>
          <w:lang w:val="en-US" w:eastAsia="zh-CN"/>
        </w:rPr>
        <w:t>费1</w:t>
      </w:r>
      <w:r>
        <w:rPr>
          <w:rFonts w:hint="eastAsia" w:ascii="仿宋_GB2312" w:hAnsi="仿宋_GB2312" w:eastAsia="仿宋_GB2312" w:cs="仿宋_GB2312"/>
          <w:sz w:val="32"/>
          <w:szCs w:val="32"/>
        </w:rPr>
        <w:t>.50</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维修（护）费5.00</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培训费27.84</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专用材料费5.00</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委托业务费1.41</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工会经费18.27</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其他交通费用0.50</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其他商品和服务支出39.39</w:t>
      </w:r>
      <w:r>
        <w:rPr>
          <w:rFonts w:hint="eastAsia" w:ascii="仿宋_GB2312" w:hAnsi="仿宋_GB2312" w:eastAsia="仿宋_GB2312" w:cs="仿宋_GB2312"/>
          <w:sz w:val="32"/>
          <w:szCs w:val="32"/>
          <w:lang w:val="en-US" w:eastAsia="zh-CN"/>
        </w:rPr>
        <w:t>万元。</w:t>
      </w:r>
    </w:p>
    <w:p w14:paraId="2CE74AF5">
      <w:pPr>
        <w:widowControl/>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2026年事业运行经费比上年增加20.52万元，15.20%，主要原因是我校今年计划新招聘3名教师，经费增加</w:t>
      </w:r>
    </w:p>
    <w:p w14:paraId="375003B5">
      <w:pPr>
        <w:spacing w:line="600" w:lineRule="exact"/>
        <w:ind w:left="0" w:leftChars="0" w:firstLine="640" w:firstLineChars="200"/>
        <w:outlineLvl w:val="2"/>
        <w:rPr>
          <w:rFonts w:eastAsia="黑体" w:cs="黑体"/>
          <w:b/>
          <w:bCs/>
          <w:sz w:val="32"/>
          <w:szCs w:val="36"/>
          <w:highlight w:val="none"/>
        </w:rPr>
      </w:pPr>
      <w:r>
        <w:rPr>
          <w:rFonts w:hint="eastAsia" w:eastAsia="黑体" w:cs="黑体"/>
          <w:sz w:val="32"/>
          <w:szCs w:val="36"/>
          <w:highlight w:val="none"/>
          <w:lang w:val="en-US" w:eastAsia="zh-CN"/>
        </w:rPr>
        <w:t>三</w:t>
      </w:r>
      <w:r>
        <w:rPr>
          <w:rFonts w:hint="eastAsia" w:eastAsia="黑体" w:cs="黑体"/>
          <w:sz w:val="32"/>
          <w:szCs w:val="36"/>
          <w:highlight w:val="none"/>
        </w:rPr>
        <w:t>、政府采购支出预算情况说明</w:t>
      </w:r>
    </w:p>
    <w:p w14:paraId="0372966D">
      <w:pPr>
        <w:widowControl/>
        <w:spacing w:line="560" w:lineRule="exact"/>
        <w:ind w:firstLine="640" w:firstLineChars="200"/>
        <w:jc w:val="left"/>
        <w:rPr>
          <w:rFonts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2026年政府采购预算</w:t>
      </w:r>
      <w:r>
        <w:rPr>
          <w:rFonts w:hint="eastAsia" w:ascii="仿宋_GB2312" w:hAnsi="仿宋_GB2312" w:eastAsia="仿宋_GB2312" w:cs="仿宋_GB2312"/>
          <w:sz w:val="32"/>
          <w:szCs w:val="32"/>
        </w:rPr>
        <w:t>40</w:t>
      </w:r>
      <w:r>
        <w:rPr>
          <w:rFonts w:hint="eastAsia" w:ascii="仿宋_GB2312" w:hAnsi="仿宋_GB2312" w:eastAsia="仿宋_GB2312" w:cs="仿宋_GB2312"/>
          <w:kern w:val="0"/>
          <w:sz w:val="32"/>
          <w:szCs w:val="32"/>
          <w:lang w:bidi="ar"/>
        </w:rPr>
        <w:t>万元，较上年</w:t>
      </w:r>
      <w:r>
        <w:rPr>
          <w:rFonts w:hint="eastAsia" w:ascii="仿宋_GB2312" w:hAnsi="仿宋_GB2312" w:eastAsia="仿宋_GB2312" w:cs="仿宋_GB2312"/>
          <w:sz w:val="32"/>
          <w:szCs w:val="32"/>
        </w:rPr>
        <w:t>增加40</w:t>
      </w:r>
      <w:r>
        <w:rPr>
          <w:rFonts w:hint="eastAsia" w:ascii="仿宋_GB2312" w:hAnsi="仿宋_GB2312" w:eastAsia="仿宋_GB2312" w:cs="仿宋_GB2312"/>
          <w:kern w:val="0"/>
          <w:sz w:val="32"/>
          <w:szCs w:val="32"/>
          <w:lang w:bidi="ar"/>
        </w:rPr>
        <w:t>万元，</w:t>
      </w:r>
      <w:r>
        <w:rPr>
          <w:rFonts w:hint="eastAsia" w:ascii="仿宋_GB2312" w:hAnsi="仿宋_GB2312" w:eastAsia="仿宋_GB2312" w:cs="仿宋_GB2312"/>
          <w:sz w:val="32"/>
          <w:szCs w:val="32"/>
        </w:rPr>
        <w:t>增加100</w:t>
      </w:r>
      <w:r>
        <w:rPr>
          <w:rFonts w:hint="eastAsia" w:ascii="仿宋_GB2312" w:hAnsi="仿宋_GB2312" w:eastAsia="仿宋_GB2312" w:cs="仿宋_GB2312"/>
          <w:kern w:val="0"/>
          <w:sz w:val="32"/>
          <w:szCs w:val="32"/>
          <w:lang w:bidi="ar"/>
        </w:rPr>
        <w:t>%。资金来源为财政拨款，其中：</w:t>
      </w:r>
    </w:p>
    <w:p w14:paraId="5E019010">
      <w:pPr>
        <w:widowControl/>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kern w:val="0"/>
          <w:sz w:val="32"/>
          <w:szCs w:val="32"/>
          <w:lang w:bidi="ar"/>
        </w:rPr>
        <w:t>1.货物类预算预算0万元，占比0%，较上年增加0万元，增加0%，增加原因是不存在此项内容。</w:t>
      </w:r>
    </w:p>
    <w:p w14:paraId="08B6F754">
      <w:pPr>
        <w:widowControl/>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kern w:val="0"/>
          <w:sz w:val="32"/>
          <w:szCs w:val="32"/>
          <w:lang w:bidi="ar"/>
        </w:rPr>
        <w:t>2.工程类预算预算</w:t>
      </w:r>
      <w:r>
        <w:rPr>
          <w:rFonts w:hint="eastAsia" w:ascii="仿宋_GB2312" w:hAnsi="仿宋_GB2312" w:eastAsia="仿宋_GB2312" w:cs="仿宋_GB2312"/>
          <w:kern w:val="0"/>
          <w:sz w:val="32"/>
          <w:szCs w:val="32"/>
          <w:lang w:val="en-US" w:eastAsia="zh-CN" w:bidi="ar"/>
        </w:rPr>
        <w:t>40</w:t>
      </w:r>
      <w:r>
        <w:rPr>
          <w:rFonts w:hint="eastAsia" w:ascii="仿宋_GB2312" w:hAnsi="仿宋_GB2312" w:eastAsia="仿宋_GB2312" w:cs="仿宋_GB2312"/>
          <w:kern w:val="0"/>
          <w:sz w:val="32"/>
          <w:szCs w:val="32"/>
          <w:lang w:bidi="ar"/>
        </w:rPr>
        <w:t>万元，占比</w:t>
      </w:r>
      <w:r>
        <w:rPr>
          <w:rFonts w:hint="eastAsia" w:ascii="仿宋_GB2312" w:hAnsi="仿宋_GB2312" w:eastAsia="仿宋_GB2312" w:cs="仿宋_GB2312"/>
          <w:kern w:val="0"/>
          <w:sz w:val="32"/>
          <w:szCs w:val="32"/>
          <w:lang w:val="en-US" w:eastAsia="zh-CN" w:bidi="ar"/>
        </w:rPr>
        <w:t>100</w:t>
      </w:r>
      <w:r>
        <w:rPr>
          <w:rFonts w:hint="eastAsia" w:ascii="仿宋_GB2312" w:hAnsi="仿宋_GB2312" w:eastAsia="仿宋_GB2312" w:cs="仿宋_GB2312"/>
          <w:kern w:val="0"/>
          <w:sz w:val="32"/>
          <w:szCs w:val="32"/>
          <w:lang w:bidi="ar"/>
        </w:rPr>
        <w:t>%，较上年增加</w:t>
      </w:r>
      <w:r>
        <w:rPr>
          <w:rFonts w:hint="eastAsia" w:ascii="仿宋_GB2312" w:hAnsi="仿宋_GB2312" w:eastAsia="仿宋_GB2312" w:cs="仿宋_GB2312"/>
          <w:kern w:val="0"/>
          <w:sz w:val="32"/>
          <w:szCs w:val="32"/>
          <w:lang w:val="en-US" w:eastAsia="zh-CN" w:bidi="ar"/>
        </w:rPr>
        <w:t>40</w:t>
      </w:r>
      <w:r>
        <w:rPr>
          <w:rFonts w:hint="eastAsia" w:ascii="仿宋_GB2312" w:hAnsi="仿宋_GB2312" w:eastAsia="仿宋_GB2312" w:cs="仿宋_GB2312"/>
          <w:kern w:val="0"/>
          <w:sz w:val="32"/>
          <w:szCs w:val="32"/>
          <w:lang w:bidi="ar"/>
        </w:rPr>
        <w:t>万元，增加</w:t>
      </w:r>
      <w:r>
        <w:rPr>
          <w:rFonts w:hint="eastAsia" w:ascii="仿宋_GB2312" w:hAnsi="仿宋_GB2312" w:eastAsia="仿宋_GB2312" w:cs="仿宋_GB2312"/>
          <w:kern w:val="0"/>
          <w:sz w:val="32"/>
          <w:szCs w:val="32"/>
          <w:lang w:val="en-US" w:eastAsia="zh-CN" w:bidi="ar"/>
        </w:rPr>
        <w:t>10</w:t>
      </w:r>
      <w:r>
        <w:rPr>
          <w:rFonts w:hint="eastAsia" w:ascii="仿宋_GB2312" w:hAnsi="仿宋_GB2312" w:eastAsia="仿宋_GB2312" w:cs="仿宋_GB2312"/>
          <w:kern w:val="0"/>
          <w:sz w:val="32"/>
          <w:szCs w:val="32"/>
          <w:lang w:bidi="ar"/>
        </w:rPr>
        <w:t>0%，增加原因是</w:t>
      </w:r>
      <w:r>
        <w:rPr>
          <w:rFonts w:hint="eastAsia" w:ascii="仿宋_GB2312" w:hAnsi="仿宋_GB2312" w:eastAsia="仿宋_GB2312" w:cs="仿宋_GB2312"/>
          <w:kern w:val="0"/>
          <w:sz w:val="32"/>
          <w:szCs w:val="32"/>
          <w:lang w:val="en-US" w:eastAsia="zh-CN" w:bidi="ar"/>
        </w:rPr>
        <w:t>本年新增</w:t>
      </w:r>
      <w:r>
        <w:rPr>
          <w:rFonts w:hint="eastAsia" w:ascii="仿宋_GB2312" w:hAnsi="仿宋_GB2312" w:eastAsia="仿宋_GB2312" w:cs="仿宋_GB2312"/>
          <w:kern w:val="0"/>
          <w:sz w:val="32"/>
          <w:szCs w:val="32"/>
          <w:highlight w:val="none"/>
          <w:lang w:val="en-US" w:eastAsia="zh-CN" w:bidi="ar"/>
        </w:rPr>
        <w:t>其他建筑物、构筑物修缮40万元</w:t>
      </w:r>
      <w:r>
        <w:rPr>
          <w:rFonts w:hint="eastAsia" w:ascii="仿宋_GB2312" w:hAnsi="仿宋_GB2312" w:eastAsia="仿宋_GB2312" w:cs="仿宋_GB2312"/>
          <w:kern w:val="0"/>
          <w:sz w:val="32"/>
          <w:szCs w:val="32"/>
          <w:lang w:bidi="ar"/>
        </w:rPr>
        <w:t>。</w:t>
      </w:r>
    </w:p>
    <w:p w14:paraId="4325945C">
      <w:pPr>
        <w:widowControl/>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kern w:val="0"/>
          <w:sz w:val="32"/>
          <w:szCs w:val="32"/>
          <w:lang w:bidi="ar"/>
        </w:rPr>
        <w:t>3.服务类预算预算0万元，占比0%，较上年增加0万元，增加0%，增加原因是不存在此项内容。</w:t>
      </w:r>
    </w:p>
    <w:p w14:paraId="222A4F61">
      <w:pPr>
        <w:widowControl/>
        <w:spacing w:line="560" w:lineRule="exact"/>
        <w:ind w:firstLine="640" w:firstLineChars="200"/>
        <w:jc w:val="left"/>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bidi="ar"/>
        </w:rPr>
        <w:t>编制政府购买服务项目0项，预算为0万元，服务类型为无，涉及预算单位0家，资金来源为财政拨款</w:t>
      </w:r>
      <w:r>
        <w:rPr>
          <w:rFonts w:hint="eastAsia" w:ascii="仿宋_GB2312" w:hAnsi="仿宋_GB2312" w:eastAsia="仿宋_GB2312" w:cs="仿宋_GB2312"/>
          <w:kern w:val="0"/>
          <w:sz w:val="32"/>
          <w:szCs w:val="32"/>
          <w:lang w:eastAsia="zh-CN" w:bidi="ar"/>
        </w:rPr>
        <w:t>。</w:t>
      </w:r>
    </w:p>
    <w:p w14:paraId="4B5AE90C">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lang w:val="en-US" w:eastAsia="zh-CN"/>
        </w:rPr>
        <w:t>四</w:t>
      </w:r>
      <w:r>
        <w:rPr>
          <w:rFonts w:hint="eastAsia" w:eastAsia="黑体" w:cs="黑体"/>
          <w:sz w:val="32"/>
          <w:szCs w:val="36"/>
          <w:highlight w:val="none"/>
        </w:rPr>
        <w:t>、国有资产占用情况说明</w:t>
      </w:r>
    </w:p>
    <w:p w14:paraId="7CDA26BB">
      <w:pPr>
        <w:widowControl/>
        <w:spacing w:line="560" w:lineRule="exact"/>
        <w:ind w:firstLine="640" w:firstLineChars="200"/>
        <w:jc w:val="left"/>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乌海市特殊教育学校单位共有车辆</w:t>
      </w:r>
      <w:r>
        <w:rPr>
          <w:rFonts w:hint="eastAsia" w:ascii="仿宋_GB2312" w:hAnsi="仿宋_GB2312" w:eastAsia="仿宋_GB2312" w:cs="仿宋_GB2312"/>
          <w:kern w:val="0"/>
          <w:sz w:val="32"/>
          <w:szCs w:val="32"/>
          <w:lang w:val="en-US" w:eastAsia="zh-CN" w:bidi="ar"/>
        </w:rPr>
        <w:t>0</w:t>
      </w:r>
      <w:r>
        <w:rPr>
          <w:rFonts w:hint="eastAsia" w:ascii="仿宋_GB2312" w:hAnsi="仿宋_GB2312" w:eastAsia="仿宋_GB2312" w:cs="仿宋_GB2312"/>
          <w:kern w:val="0"/>
          <w:sz w:val="32"/>
          <w:szCs w:val="32"/>
          <w:lang w:bidi="ar"/>
        </w:rPr>
        <w:t>辆，其中，一般公务用车</w:t>
      </w:r>
      <w:r>
        <w:rPr>
          <w:rFonts w:hint="eastAsia" w:ascii="仿宋_GB2312" w:hAnsi="仿宋_GB2312" w:eastAsia="仿宋_GB2312" w:cs="仿宋_GB2312"/>
          <w:kern w:val="0"/>
          <w:sz w:val="32"/>
          <w:szCs w:val="32"/>
          <w:lang w:val="en-US" w:eastAsia="zh-CN" w:bidi="ar"/>
        </w:rPr>
        <w:t>0</w:t>
      </w:r>
      <w:r>
        <w:rPr>
          <w:rFonts w:hint="eastAsia" w:ascii="仿宋_GB2312" w:hAnsi="仿宋_GB2312" w:eastAsia="仿宋_GB2312" w:cs="仿宋_GB2312"/>
          <w:kern w:val="0"/>
          <w:sz w:val="32"/>
          <w:szCs w:val="32"/>
          <w:lang w:bidi="ar"/>
        </w:rPr>
        <w:t>辆、执法执勤用车</w:t>
      </w:r>
      <w:r>
        <w:rPr>
          <w:rFonts w:hint="eastAsia" w:ascii="仿宋_GB2312" w:hAnsi="仿宋_GB2312" w:eastAsia="仿宋_GB2312" w:cs="仿宋_GB2312"/>
          <w:kern w:val="0"/>
          <w:sz w:val="32"/>
          <w:szCs w:val="32"/>
          <w:lang w:val="en-US" w:eastAsia="zh-CN" w:bidi="ar"/>
        </w:rPr>
        <w:t>0</w:t>
      </w:r>
      <w:r>
        <w:rPr>
          <w:rFonts w:hint="eastAsia" w:ascii="仿宋_GB2312" w:hAnsi="仿宋_GB2312" w:eastAsia="仿宋_GB2312" w:cs="仿宋_GB2312"/>
          <w:kern w:val="0"/>
          <w:sz w:val="32"/>
          <w:szCs w:val="32"/>
          <w:lang w:bidi="ar"/>
        </w:rPr>
        <w:t>辆、特种专业技术用车</w:t>
      </w:r>
      <w:r>
        <w:rPr>
          <w:rFonts w:hint="eastAsia" w:ascii="仿宋_GB2312" w:hAnsi="仿宋_GB2312" w:eastAsia="仿宋_GB2312" w:cs="仿宋_GB2312"/>
          <w:kern w:val="0"/>
          <w:sz w:val="32"/>
          <w:szCs w:val="32"/>
          <w:lang w:val="en-US" w:eastAsia="zh-CN" w:bidi="ar"/>
        </w:rPr>
        <w:t>0</w:t>
      </w:r>
      <w:r>
        <w:rPr>
          <w:rFonts w:hint="eastAsia" w:ascii="仿宋_GB2312" w:hAnsi="仿宋_GB2312" w:eastAsia="仿宋_GB2312" w:cs="仿宋_GB2312"/>
          <w:kern w:val="0"/>
          <w:sz w:val="32"/>
          <w:szCs w:val="32"/>
          <w:lang w:bidi="ar"/>
        </w:rPr>
        <w:t>辆、业务用车</w:t>
      </w:r>
      <w:r>
        <w:rPr>
          <w:rFonts w:hint="eastAsia" w:ascii="仿宋_GB2312" w:hAnsi="仿宋_GB2312" w:eastAsia="仿宋_GB2312" w:cs="仿宋_GB2312"/>
          <w:kern w:val="0"/>
          <w:sz w:val="32"/>
          <w:szCs w:val="32"/>
          <w:lang w:val="en-US" w:eastAsia="zh-CN" w:bidi="ar"/>
        </w:rPr>
        <w:t>0</w:t>
      </w:r>
      <w:r>
        <w:rPr>
          <w:rFonts w:hint="eastAsia" w:ascii="仿宋_GB2312" w:hAnsi="仿宋_GB2312" w:eastAsia="仿宋_GB2312" w:cs="仿宋_GB2312"/>
          <w:kern w:val="0"/>
          <w:sz w:val="32"/>
          <w:szCs w:val="32"/>
          <w:lang w:bidi="ar"/>
        </w:rPr>
        <w:t>辆、其他用车</w:t>
      </w:r>
      <w:r>
        <w:rPr>
          <w:rFonts w:hint="eastAsia" w:ascii="仿宋_GB2312" w:hAnsi="仿宋_GB2312" w:eastAsia="仿宋_GB2312" w:cs="仿宋_GB2312"/>
          <w:kern w:val="0"/>
          <w:sz w:val="32"/>
          <w:szCs w:val="32"/>
          <w:lang w:val="en-US" w:eastAsia="zh-CN" w:bidi="ar"/>
        </w:rPr>
        <w:t>0</w:t>
      </w:r>
      <w:r>
        <w:rPr>
          <w:rFonts w:hint="eastAsia" w:ascii="仿宋_GB2312" w:hAnsi="仿宋_GB2312" w:eastAsia="仿宋_GB2312" w:cs="仿宋_GB2312"/>
          <w:kern w:val="0"/>
          <w:sz w:val="32"/>
          <w:szCs w:val="32"/>
          <w:lang w:bidi="ar"/>
        </w:rPr>
        <w:t>辆等。</w:t>
      </w:r>
    </w:p>
    <w:p w14:paraId="7BE771DE">
      <w:pPr>
        <w:widowControl/>
        <w:spacing w:line="560" w:lineRule="exact"/>
        <w:ind w:firstLine="640" w:firstLineChars="200"/>
        <w:jc w:val="left"/>
        <w:rPr>
          <w:rFonts w:eastAsia="仿宋_GB2312" w:cstheme="minorBidi"/>
          <w:sz w:val="32"/>
          <w:szCs w:val="32"/>
          <w:highlight w:val="none"/>
        </w:rPr>
      </w:pPr>
      <w:r>
        <w:rPr>
          <w:rFonts w:hint="eastAsia" w:ascii="仿宋_GB2312" w:hAnsi="仿宋_GB2312" w:eastAsia="仿宋_GB2312" w:cs="仿宋_GB2312"/>
          <w:kern w:val="0"/>
          <w:sz w:val="32"/>
          <w:szCs w:val="32"/>
          <w:lang w:bidi="ar"/>
        </w:rPr>
        <w:t>单价50万元（含）以上的通用设备</w:t>
      </w:r>
      <w:r>
        <w:rPr>
          <w:rFonts w:hint="eastAsia" w:ascii="仿宋_GB2312" w:hAnsi="仿宋_GB2312" w:eastAsia="仿宋_GB2312" w:cs="仿宋_GB2312"/>
          <w:kern w:val="0"/>
          <w:sz w:val="32"/>
          <w:szCs w:val="32"/>
          <w:lang w:val="en-US" w:eastAsia="zh-CN" w:bidi="ar"/>
        </w:rPr>
        <w:t>0</w:t>
      </w:r>
      <w:r>
        <w:rPr>
          <w:rFonts w:hint="eastAsia" w:ascii="仿宋_GB2312" w:hAnsi="仿宋_GB2312" w:eastAsia="仿宋_GB2312" w:cs="仿宋_GB2312"/>
          <w:kern w:val="0"/>
          <w:sz w:val="32"/>
          <w:szCs w:val="32"/>
          <w:lang w:bidi="ar"/>
        </w:rPr>
        <w:t>台（套），单价100万元（含）以上的专用设备</w:t>
      </w:r>
      <w:r>
        <w:rPr>
          <w:rFonts w:hint="eastAsia" w:ascii="仿宋_GB2312" w:hAnsi="仿宋_GB2312" w:eastAsia="仿宋_GB2312" w:cs="仿宋_GB2312"/>
          <w:kern w:val="0"/>
          <w:sz w:val="32"/>
          <w:szCs w:val="32"/>
          <w:lang w:val="en-US" w:eastAsia="zh-CN" w:bidi="ar"/>
        </w:rPr>
        <w:t>0</w:t>
      </w:r>
      <w:r>
        <w:rPr>
          <w:rFonts w:hint="eastAsia" w:ascii="仿宋_GB2312" w:hAnsi="仿宋_GB2312" w:eastAsia="仿宋_GB2312" w:cs="仿宋_GB2312"/>
          <w:kern w:val="0"/>
          <w:sz w:val="32"/>
          <w:szCs w:val="32"/>
          <w:lang w:bidi="ar"/>
        </w:rPr>
        <w:t>台（套）</w:t>
      </w:r>
      <w:r>
        <w:rPr>
          <w:rFonts w:eastAsia="仿宋_GB2312"/>
          <w:sz w:val="32"/>
          <w:szCs w:val="32"/>
          <w:highlight w:val="none"/>
        </w:rPr>
        <w:t>。</w:t>
      </w:r>
    </w:p>
    <w:p w14:paraId="19EAE474">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五、部门组织征收收入计划</w:t>
      </w:r>
    </w:p>
    <w:p w14:paraId="69B6A38E">
      <w:pPr>
        <w:spacing w:line="600" w:lineRule="exact"/>
        <w:ind w:left="0" w:leftChars="0" w:firstLine="640" w:firstLineChars="200"/>
        <w:outlineLvl w:val="2"/>
        <w:rPr>
          <w:rFonts w:hint="eastAsia" w:eastAsia="黑体" w:cs="黑体"/>
          <w:sz w:val="32"/>
          <w:szCs w:val="36"/>
          <w:highlight w:val="none"/>
          <w:u w:val="none"/>
        </w:rPr>
      </w:pPr>
      <w:r>
        <w:rPr>
          <w:rFonts w:hint="eastAsia" w:ascii="仿宋_GB2312" w:hAnsi="仿宋_GB2312" w:eastAsia="仿宋_GB2312" w:cs="仿宋_GB2312"/>
          <w:color w:val="auto"/>
          <w:kern w:val="0"/>
          <w:sz w:val="32"/>
          <w:szCs w:val="32"/>
          <w:u w:val="none"/>
          <w:lang w:val="en-US" w:eastAsia="zh-CN" w:bidi="ar"/>
        </w:rPr>
        <w:t>2026</w:t>
      </w:r>
      <w:r>
        <w:rPr>
          <w:rFonts w:hint="eastAsia" w:ascii="仿宋_GB2312" w:hAnsi="仿宋_GB2312" w:eastAsia="仿宋_GB2312" w:cs="仿宋_GB2312"/>
          <w:color w:val="auto"/>
          <w:kern w:val="0"/>
          <w:sz w:val="32"/>
          <w:szCs w:val="32"/>
          <w:u w:val="none"/>
          <w:lang w:eastAsia="zh-CN" w:bidi="ar"/>
        </w:rPr>
        <w:t>年</w:t>
      </w:r>
      <w:r>
        <w:rPr>
          <w:rFonts w:hint="eastAsia" w:ascii="仿宋_GB2312" w:hAnsi="仿宋_GB2312" w:eastAsia="仿宋_GB2312" w:cs="仿宋_GB2312"/>
          <w:kern w:val="0"/>
          <w:sz w:val="32"/>
          <w:szCs w:val="32"/>
          <w:u w:val="none"/>
          <w:lang w:bidi="ar"/>
        </w:rPr>
        <w:t>乌海市特殊教育学校单位</w:t>
      </w:r>
      <w:r>
        <w:rPr>
          <w:rFonts w:hint="eastAsia" w:ascii="仿宋_GB2312" w:hAnsi="仿宋_GB2312" w:eastAsia="仿宋_GB2312" w:cs="仿宋_GB2312"/>
          <w:color w:val="auto"/>
          <w:kern w:val="0"/>
          <w:sz w:val="32"/>
          <w:szCs w:val="32"/>
          <w:u w:val="none"/>
          <w:lang w:bidi="ar"/>
        </w:rPr>
        <w:t>组织征收收入计划</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kern w:val="0"/>
          <w:sz w:val="32"/>
          <w:szCs w:val="32"/>
          <w:u w:val="none"/>
          <w:lang w:bidi="ar"/>
        </w:rPr>
        <w:t>万元，全部纳入预算管理。非税收费项目为考试</w:t>
      </w:r>
      <w:r>
        <w:rPr>
          <w:rFonts w:hint="eastAsia" w:ascii="仿宋_GB2312" w:hAnsi="仿宋_GB2312" w:eastAsia="仿宋_GB2312" w:cs="仿宋_GB2312"/>
          <w:color w:val="auto"/>
          <w:sz w:val="32"/>
          <w:szCs w:val="32"/>
          <w:u w:val="none"/>
          <w:lang w:val="en-US" w:eastAsia="zh-CN"/>
        </w:rPr>
        <w:t>0</w:t>
      </w:r>
      <w:r>
        <w:rPr>
          <w:rFonts w:hint="eastAsia" w:ascii="仿宋_GB2312" w:hAnsi="仿宋_GB2312" w:eastAsia="仿宋_GB2312" w:cs="仿宋_GB2312"/>
          <w:color w:val="auto"/>
          <w:kern w:val="0"/>
          <w:sz w:val="32"/>
          <w:szCs w:val="32"/>
          <w:u w:val="none"/>
          <w:lang w:bidi="ar"/>
        </w:rPr>
        <w:t>费。</w:t>
      </w:r>
      <w:r>
        <w:rPr>
          <w:rFonts w:hint="eastAsia" w:ascii="仿宋_GB2312" w:hAnsi="仿宋_GB2312" w:eastAsia="仿宋_GB2312" w:cs="仿宋_GB2312"/>
          <w:color w:val="auto"/>
          <w:kern w:val="0"/>
          <w:sz w:val="32"/>
          <w:szCs w:val="32"/>
          <w:highlight w:val="none"/>
          <w:u w:val="none"/>
          <w:lang w:val="en-US" w:eastAsia="zh-CN" w:bidi="ar"/>
        </w:rPr>
        <w:t>我单位无征收收入。</w:t>
      </w:r>
    </w:p>
    <w:p w14:paraId="0CD1C396">
      <w:pPr>
        <w:spacing w:line="600" w:lineRule="exact"/>
        <w:ind w:left="0" w:leftChars="0" w:firstLine="640" w:firstLineChars="200"/>
        <w:outlineLvl w:val="2"/>
        <w:rPr>
          <w:rFonts w:hint="eastAsia" w:eastAsia="黑体" w:cs="黑体"/>
          <w:sz w:val="32"/>
          <w:szCs w:val="36"/>
          <w:highlight w:val="none"/>
          <w:lang w:eastAsia="zh-CN"/>
        </w:rPr>
      </w:pPr>
      <w:r>
        <w:rPr>
          <w:rFonts w:hint="eastAsia" w:eastAsia="黑体" w:cs="黑体"/>
          <w:sz w:val="32"/>
          <w:szCs w:val="36"/>
          <w:highlight w:val="none"/>
        </w:rPr>
        <w:t>十四、项目绩效目标情况说明</w:t>
      </w:r>
    </w:p>
    <w:p w14:paraId="48EE441C">
      <w:pPr>
        <w:spacing w:line="600" w:lineRule="exact"/>
        <w:ind w:left="0" w:leftChars="0" w:firstLine="640" w:firstLineChars="200"/>
        <w:outlineLvl w:val="2"/>
        <w:rPr>
          <w:rFonts w:hint="eastAsia" w:ascii="仿宋_GB2312" w:hAnsi="仿宋_GB2312" w:eastAsia="仿宋_GB2312" w:cs="仿宋_GB2312"/>
          <w:color w:val="auto"/>
          <w:kern w:val="0"/>
          <w:sz w:val="32"/>
          <w:szCs w:val="32"/>
          <w:u w:val="none"/>
          <w:lang w:val="en-US" w:eastAsia="zh-CN" w:bidi="ar"/>
        </w:rPr>
      </w:pPr>
      <w:r>
        <w:rPr>
          <w:rFonts w:hint="eastAsia" w:ascii="仿宋_GB2312" w:hAnsi="仿宋_GB2312" w:eastAsia="仿宋_GB2312" w:cs="仿宋_GB2312"/>
          <w:color w:val="auto"/>
          <w:kern w:val="0"/>
          <w:sz w:val="32"/>
          <w:szCs w:val="32"/>
          <w:u w:val="none"/>
          <w:lang w:val="en-US" w:eastAsia="zh-CN" w:bidi="ar"/>
        </w:rPr>
        <w:t>乌海市特殊教育学校单位本年填报绩效目标的预算项目3个，公开绩效目标3个，涉密不进行公开的项目0个，公开项目占全部预算项目的100%。公开填报绩效目标的项目支出预算71万元，占全部项目支出预算的100%。根据部门预算编制要求，对项目预算的绩效目标进行设置。从预算执行、产出、效益、满意度等多方面对预算项目进行综合绩效管理。设计具体项目绩效指标7项，二级指标体系中：数量指标6项，包括卫生间改造平米数、学生食堂伙食补助人数等；质量指标6项，包括卫生间改造验收合格率、学生食堂伙食补助足额率等；时效指标6项，包括卫生间改造周期、学生食堂伙食补助时间等；成本指标6项，包括卫生间改造金额、学生食堂伙食补助金额等；社会效益指标3项，包括改善校园基础设施建设保障食堂食品安全营养等；可持续影响指标3项，包括支持特殊教育教学工作有序开展等；服务对象满意度指标3项，包括家长学生满意度等。</w:t>
      </w:r>
    </w:p>
    <w:p w14:paraId="1B31A2E6">
      <w:pPr>
        <w:pStyle w:val="2"/>
        <w:rPr>
          <w:rFonts w:hint="default"/>
        </w:rPr>
      </w:pPr>
    </w:p>
    <w:p w14:paraId="3AFA6C4B">
      <w:pPr>
        <w:pStyle w:val="5"/>
        <w:tabs>
          <w:tab w:val="left" w:pos="4392"/>
        </w:tabs>
        <w:adjustRightInd/>
        <w:snapToGrid/>
        <w:spacing w:before="0" w:after="0" w:line="600" w:lineRule="exact"/>
        <w:ind w:firstLine="0" w:firstLineChars="0"/>
        <w:jc w:val="center"/>
        <w:rPr>
          <w:rFonts w:hint="eastAsia" w:ascii="仿宋_GB2312" w:hAnsi="仿宋" w:eastAsia="仿宋_GB2312" w:cs="仿宋"/>
          <w:b/>
          <w:bCs/>
          <w:color w:val="auto"/>
          <w:kern w:val="0"/>
          <w:sz w:val="36"/>
          <w:szCs w:val="32"/>
          <w:lang w:val="en-US" w:eastAsia="zh-CN" w:bidi="ar"/>
        </w:rPr>
      </w:pPr>
      <w:bookmarkStart w:id="2" w:name="_Toc15573"/>
      <w:r>
        <w:rPr>
          <w:rFonts w:hint="eastAsia" w:ascii="仿宋_GB2312" w:hAnsi="仿宋" w:eastAsia="仿宋_GB2312" w:cs="仿宋"/>
          <w:b/>
          <w:bCs/>
          <w:color w:val="auto"/>
          <w:kern w:val="0"/>
          <w:sz w:val="36"/>
          <w:szCs w:val="32"/>
          <w:lang w:val="en-US" w:eastAsia="zh-CN" w:bidi="ar"/>
        </w:rPr>
        <w:t>第四部分 名词解释</w:t>
      </w:r>
      <w:bookmarkEnd w:id="2"/>
    </w:p>
    <w:p w14:paraId="3FD63565">
      <w:pPr>
        <w:rPr>
          <w:sz w:val="36"/>
          <w:szCs w:val="36"/>
          <w:highlight w:val="none"/>
        </w:rPr>
      </w:pPr>
    </w:p>
    <w:p w14:paraId="219E1658">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一、财政拨款：</w:t>
      </w:r>
      <w:r>
        <w:rPr>
          <w:rFonts w:hint="eastAsia" w:eastAsia="仿宋_GB2312" w:cstheme="minorBidi"/>
          <w:sz w:val="32"/>
          <w:szCs w:val="32"/>
          <w:highlight w:val="none"/>
        </w:rPr>
        <w:t>从同级财政部门取得的各类财政拨款，包括一般公共预算拨款、政府性基金预算拨款、国有资本经营预算拨款。</w:t>
      </w:r>
    </w:p>
    <w:p w14:paraId="67F62180">
      <w:pPr>
        <w:spacing w:line="600" w:lineRule="exact"/>
        <w:ind w:firstLine="643" w:firstLineChars="200"/>
        <w:rPr>
          <w:highlight w:val="none"/>
        </w:rPr>
      </w:pPr>
      <w:r>
        <w:rPr>
          <w:rFonts w:hint="eastAsia" w:eastAsia="仿宋_GB2312" w:cstheme="minorBidi"/>
          <w:b/>
          <w:bCs/>
          <w:sz w:val="32"/>
          <w:szCs w:val="32"/>
          <w:highlight w:val="none"/>
        </w:rPr>
        <w:t>二、一般公共预算拨款收入：</w:t>
      </w:r>
      <w:r>
        <w:rPr>
          <w:rFonts w:hint="eastAsia" w:ascii="Times New Roman" w:hAnsi="Times New Roman" w:eastAsia="仿宋_GB2312" w:cs="仿宋"/>
          <w:bCs/>
          <w:sz w:val="30"/>
          <w:szCs w:val="30"/>
          <w:highlight w:val="none"/>
        </w:rPr>
        <w:t>指财政当年拨付的资金。</w:t>
      </w:r>
    </w:p>
    <w:p w14:paraId="3FB4E078">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三、财政专户管理资金：</w:t>
      </w:r>
      <w:r>
        <w:rPr>
          <w:rFonts w:hint="eastAsia" w:eastAsia="仿宋_GB2312" w:cstheme="minorBidi"/>
          <w:sz w:val="32"/>
          <w:szCs w:val="32"/>
          <w:highlight w:val="none"/>
        </w:rPr>
        <w:t>缴入财政专户、实行专项管理的高中以上学费、住宿费、高校委托培养费、函大、电大、夜大及短训班培训费等教育收费。</w:t>
      </w:r>
    </w:p>
    <w:p w14:paraId="480B07D1">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四、单位资金：</w:t>
      </w:r>
      <w:r>
        <w:rPr>
          <w:rFonts w:hint="eastAsia" w:eastAsia="仿宋_GB2312" w:cstheme="minorBidi"/>
          <w:sz w:val="32"/>
          <w:szCs w:val="32"/>
          <w:highlight w:val="none"/>
        </w:rPr>
        <w:t>除财政拨款收入和财政专户管理资金以外的收入，包括事业收入（不含教育收费）、上级补助收入、附属单位上缴收入、事业单位经营收入及其他收入（包含债务收入、投资收益等）。</w:t>
      </w:r>
    </w:p>
    <w:p w14:paraId="569C7528">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五、基本支出：</w:t>
      </w:r>
      <w:r>
        <w:rPr>
          <w:rFonts w:hint="eastAsia" w:eastAsia="仿宋_GB2312" w:cstheme="minorBidi"/>
          <w:sz w:val="32"/>
          <w:szCs w:val="32"/>
          <w:highlight w:val="none"/>
        </w:rPr>
        <w:t>指为保障机构正常运转、完成工作任务而发生的人员支出和公用支出。</w:t>
      </w:r>
    </w:p>
    <w:p w14:paraId="549FEA62">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六、项目支出：</w:t>
      </w:r>
      <w:r>
        <w:rPr>
          <w:rFonts w:hint="eastAsia" w:eastAsia="仿宋_GB2312" w:cstheme="minorBidi"/>
          <w:sz w:val="32"/>
          <w:szCs w:val="32"/>
          <w:highlight w:val="none"/>
        </w:rPr>
        <w:t>指在基本支出之外为完成特定工作任务和事业发展目标所发生的支出。</w:t>
      </w:r>
    </w:p>
    <w:p w14:paraId="56A8792B">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七、对个人和家庭的补助：</w:t>
      </w:r>
      <w:r>
        <w:rPr>
          <w:rFonts w:hint="eastAsia" w:eastAsia="仿宋_GB2312" w:cstheme="minorBidi"/>
          <w:sz w:val="32"/>
          <w:szCs w:val="32"/>
          <w:highlight w:val="none"/>
        </w:rPr>
        <w:t>是指政府用于对个人和家庭的补助支出。</w:t>
      </w:r>
    </w:p>
    <w:p w14:paraId="04381B99">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八、“三公”经费：</w:t>
      </w:r>
      <w:r>
        <w:rPr>
          <w:rFonts w:hint="eastAsia" w:eastAsia="仿宋_GB2312" w:cstheme="minorBidi"/>
          <w:sz w:val="32"/>
          <w:szCs w:val="32"/>
          <w:highlight w:val="none"/>
        </w:rPr>
        <w:t>指部门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用一般公共预算财政拨款安排的因公出国（境）费、公务用车购置及运行维护费和公务接待费。其中，因公出国（境）费反映部门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公务出国（境）的住宿费、旅费、伙食补助费、杂费、培训费等支出；公务用车购置及运行维护费反映部门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公务用车购置费、燃料费、维修费、过路过桥费、保险费、安全奖励费用等支出；公务接待费反映部门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按规定开支的各类公务接待（含外宾接待）支出。</w:t>
      </w:r>
    </w:p>
    <w:p w14:paraId="112F64F8">
      <w:pPr>
        <w:spacing w:line="600" w:lineRule="exact"/>
        <w:ind w:firstLine="643" w:firstLineChars="200"/>
        <w:rPr>
          <w:rFonts w:hint="eastAsia" w:ascii="方正小标宋简体" w:hAnsi="方正小标宋简体" w:eastAsia="方正小标宋简体" w:cs="方正小标宋简体"/>
          <w:sz w:val="36"/>
          <w:szCs w:val="36"/>
          <w:highlight w:val="none"/>
          <w:lang w:eastAsia="zh-CN"/>
        </w:rPr>
      </w:pPr>
      <w:r>
        <w:rPr>
          <w:rFonts w:hint="eastAsia" w:eastAsia="仿宋_GB2312" w:cstheme="minorBidi"/>
          <w:b/>
          <w:bCs/>
          <w:sz w:val="32"/>
          <w:szCs w:val="32"/>
          <w:highlight w:val="none"/>
        </w:rPr>
        <w:t>九、</w:t>
      </w:r>
      <w:r>
        <w:rPr>
          <w:rFonts w:hint="eastAsia" w:eastAsia="仿宋_GB2312" w:cstheme="minorBidi"/>
          <w:b/>
          <w:bCs/>
          <w:sz w:val="32"/>
          <w:szCs w:val="32"/>
          <w:highlight w:val="none"/>
          <w:lang w:val="en-US" w:eastAsia="zh-CN"/>
        </w:rPr>
        <w:t>机构</w:t>
      </w:r>
      <w:r>
        <w:rPr>
          <w:rFonts w:hint="eastAsia" w:eastAsia="仿宋_GB2312" w:cstheme="minorBidi"/>
          <w:b/>
          <w:bCs/>
          <w:sz w:val="32"/>
          <w:szCs w:val="32"/>
          <w:highlight w:val="none"/>
        </w:rPr>
        <w:t>运行经费：</w:t>
      </w:r>
      <w:r>
        <w:rPr>
          <w:rFonts w:hint="eastAsia" w:eastAsia="仿宋_GB2312" w:cstheme="minorBidi"/>
          <w:sz w:val="32"/>
          <w:szCs w:val="32"/>
          <w:highlight w:val="none"/>
        </w:rPr>
        <w:t>指部门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23CF9209">
      <w:pPr>
        <w:pStyle w:val="2"/>
      </w:pPr>
    </w:p>
    <w:p w14:paraId="2602BFC3">
      <w:pPr>
        <w:pStyle w:val="5"/>
        <w:tabs>
          <w:tab w:val="left" w:pos="4392"/>
        </w:tabs>
        <w:adjustRightInd/>
        <w:snapToGrid/>
        <w:spacing w:before="0" w:after="0" w:line="600" w:lineRule="exact"/>
        <w:ind w:firstLine="0" w:firstLineChars="0"/>
        <w:jc w:val="center"/>
        <w:rPr>
          <w:rFonts w:hint="eastAsia" w:ascii="仿宋_GB2312" w:hAnsi="仿宋" w:eastAsia="仿宋_GB2312" w:cs="仿宋"/>
          <w:b/>
          <w:bCs/>
          <w:color w:val="auto"/>
          <w:kern w:val="0"/>
          <w:sz w:val="36"/>
          <w:szCs w:val="32"/>
          <w:lang w:val="en-US" w:eastAsia="zh-CN" w:bidi="ar"/>
        </w:rPr>
      </w:pPr>
      <w:bookmarkStart w:id="3" w:name="_Toc21331"/>
      <w:r>
        <w:rPr>
          <w:rFonts w:hint="eastAsia" w:ascii="仿宋_GB2312" w:hAnsi="仿宋" w:eastAsia="仿宋_GB2312" w:cs="仿宋"/>
          <w:b/>
          <w:bCs/>
          <w:color w:val="auto"/>
          <w:kern w:val="0"/>
          <w:sz w:val="36"/>
          <w:szCs w:val="32"/>
          <w:lang w:val="en-US" w:eastAsia="zh-CN" w:bidi="ar"/>
        </w:rPr>
        <w:t>第五部分 预算公开联系方式及信息反馈渠道</w:t>
      </w:r>
      <w:bookmarkEnd w:id="3"/>
    </w:p>
    <w:p w14:paraId="4740C149">
      <w:pPr>
        <w:snapToGrid w:val="0"/>
        <w:spacing w:line="600" w:lineRule="exact"/>
        <w:rPr>
          <w:rFonts w:ascii="方正小标宋简体" w:hAnsi="方正小标宋简体" w:eastAsia="方正小标宋简体" w:cs="方正小标宋简体"/>
          <w:sz w:val="36"/>
          <w:szCs w:val="36"/>
          <w:highlight w:val="none"/>
        </w:rPr>
      </w:pPr>
    </w:p>
    <w:p w14:paraId="6BE9E9F3">
      <w:pPr>
        <w:snapToGrid w:val="0"/>
        <w:spacing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本单位预算公开信息反馈和联系方式：</w:t>
      </w:r>
    </w:p>
    <w:p w14:paraId="3CFAEE11">
      <w:pPr>
        <w:widowControl/>
        <w:spacing w:line="600" w:lineRule="exact"/>
        <w:ind w:firstLine="640" w:firstLineChars="200"/>
        <w:jc w:val="left"/>
        <w:rPr>
          <w:rFonts w:hint="eastAsia" w:ascii="仿宋_GB2312" w:hAnsi="仿宋" w:eastAsia="仿宋_GB2312" w:cs="仿宋"/>
          <w:b/>
          <w:bCs/>
          <w:color w:val="auto"/>
          <w:kern w:val="0"/>
          <w:sz w:val="32"/>
          <w:szCs w:val="32"/>
          <w:lang w:bidi="ar"/>
        </w:rPr>
      </w:pPr>
      <w:r>
        <w:rPr>
          <w:rFonts w:hint="eastAsia" w:ascii="仿宋_GB2312" w:hAnsi="仿宋" w:eastAsia="仿宋_GB2312" w:cs="仿宋"/>
          <w:kern w:val="0"/>
          <w:sz w:val="32"/>
          <w:szCs w:val="32"/>
          <w:lang w:bidi="ar"/>
        </w:rPr>
        <w:t>联系人：蒋亚清</w:t>
      </w:r>
      <w:r>
        <w:rPr>
          <w:rFonts w:hint="eastAsia" w:ascii="仿宋_GB2312" w:hAnsi="仿宋" w:eastAsia="仿宋_GB2312" w:cs="仿宋"/>
          <w:kern w:val="0"/>
          <w:sz w:val="32"/>
          <w:szCs w:val="32"/>
          <w:lang w:val="en-US" w:eastAsia="zh-CN" w:bidi="ar"/>
        </w:rPr>
        <w:t xml:space="preserve">          </w:t>
      </w:r>
      <w:r>
        <w:rPr>
          <w:rFonts w:hint="eastAsia" w:ascii="仿宋_GB2312" w:hAnsi="仿宋" w:eastAsia="仿宋_GB2312" w:cs="仿宋"/>
          <w:kern w:val="0"/>
          <w:sz w:val="32"/>
          <w:szCs w:val="32"/>
          <w:lang w:bidi="ar"/>
        </w:rPr>
        <w:t>联系电话：</w:t>
      </w:r>
      <w:r>
        <w:rPr>
          <w:rFonts w:hint="eastAsia" w:ascii="仿宋_GB2312" w:hAnsi="仿宋_GB2312" w:eastAsia="仿宋_GB2312" w:cs="仿宋_GB2312"/>
          <w:sz w:val="32"/>
          <w:szCs w:val="32"/>
        </w:rPr>
        <w:t>04736992829</w:t>
      </w:r>
    </w:p>
    <w:p w14:paraId="5FAF73AA">
      <w:pPr>
        <w:pStyle w:val="5"/>
        <w:tabs>
          <w:tab w:val="left" w:pos="4392"/>
        </w:tabs>
        <w:adjustRightInd/>
        <w:snapToGrid/>
        <w:spacing w:before="0" w:after="0" w:line="600" w:lineRule="exact"/>
        <w:ind w:firstLine="0" w:firstLineChars="0"/>
        <w:jc w:val="center"/>
        <w:rPr>
          <w:rFonts w:hint="eastAsia" w:ascii="仿宋_GB2312" w:hAnsi="仿宋" w:eastAsia="仿宋_GB2312" w:cs="仿宋"/>
          <w:b/>
          <w:bCs/>
          <w:color w:val="auto"/>
          <w:kern w:val="0"/>
          <w:sz w:val="36"/>
          <w:szCs w:val="32"/>
          <w:lang w:val="en-US" w:eastAsia="zh-CN" w:bidi="ar"/>
        </w:rPr>
      </w:pPr>
      <w:r>
        <w:rPr>
          <w:rFonts w:hint="eastAsia" w:ascii="仿宋_GB2312" w:hAnsi="仿宋" w:eastAsia="仿宋_GB2312" w:cs="仿宋"/>
          <w:b/>
          <w:bCs/>
          <w:color w:val="auto"/>
          <w:kern w:val="0"/>
          <w:sz w:val="36"/>
          <w:szCs w:val="32"/>
          <w:lang w:val="en-US" w:eastAsia="zh-CN" w:bidi="ar"/>
        </w:rPr>
        <w:t>第六部分 单位预算公开表</w:t>
      </w:r>
    </w:p>
    <w:p w14:paraId="24150320">
      <w:pPr>
        <w:widowControl/>
        <w:spacing w:line="600" w:lineRule="exact"/>
        <w:ind w:firstLine="640" w:firstLineChars="200"/>
        <w:jc w:val="left"/>
        <w:rPr>
          <w:rFonts w:hint="eastAsia" w:ascii="仿宋_GB2312" w:eastAsia="仿宋_GB2312"/>
          <w:color w:val="auto"/>
          <w:sz w:val="32"/>
          <w:szCs w:val="32"/>
        </w:rPr>
      </w:pPr>
      <w:r>
        <w:rPr>
          <w:rFonts w:hint="eastAsia" w:ascii="仿宋_GB2312" w:hAnsi="仿宋" w:eastAsia="仿宋_GB2312" w:cs="仿宋"/>
          <w:color w:val="auto"/>
          <w:kern w:val="0"/>
          <w:sz w:val="32"/>
          <w:szCs w:val="32"/>
          <w:lang w:bidi="ar"/>
        </w:rPr>
        <w:t>附表：</w:t>
      </w:r>
    </w:p>
    <w:p w14:paraId="3E34B64B">
      <w:pPr>
        <w:widowControl/>
        <w:spacing w:line="600" w:lineRule="exact"/>
        <w:ind w:firstLine="640" w:firstLineChars="200"/>
        <w:jc w:val="left"/>
      </w:pPr>
      <w:r>
        <w:rPr>
          <w:rFonts w:hint="eastAsia" w:ascii="仿宋_GB2312" w:hAnsi="仿宋" w:eastAsia="仿宋_GB2312" w:cs="仿宋"/>
          <w:color w:val="auto"/>
          <w:kern w:val="0"/>
          <w:sz w:val="32"/>
          <w:szCs w:val="32"/>
          <w:lang w:bidi="ar"/>
        </w:rPr>
        <w:t>部门预算公开表</w:t>
      </w:r>
    </w:p>
    <w:sectPr>
      <w:footerReference r:id="rId5" w:type="default"/>
      <w:pgSz w:w="11906" w:h="16838"/>
      <w:pgMar w:top="1701" w:right="1800" w:bottom="1701"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08C490E-FE65-438C-99EB-C52F14FBEA4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990E2B22-6751-4E2F-BA73-8F113F8BC478}"/>
  </w:font>
  <w:font w:name="方正小标宋简体">
    <w:panose1 w:val="02000000000000000000"/>
    <w:charset w:val="86"/>
    <w:family w:val="auto"/>
    <w:pitch w:val="default"/>
    <w:sig w:usb0="00000001" w:usb1="08000000" w:usb2="00000000" w:usb3="00000000" w:csb0="00040000" w:csb1="00000000"/>
    <w:embedRegular r:id="rId3" w:fontKey="{F6B9C105-5F5C-4DCA-AFDF-23911B2A0A5C}"/>
  </w:font>
  <w:font w:name="仿宋_GB2312">
    <w:altName w:val="仿宋"/>
    <w:panose1 w:val="03000509000000000000"/>
    <w:charset w:val="86"/>
    <w:family w:val="modern"/>
    <w:pitch w:val="default"/>
    <w:sig w:usb0="00000000" w:usb1="00000000" w:usb2="00000000" w:usb3="00000000" w:csb0="00040000" w:csb1="00000000"/>
    <w:embedRegular r:id="rId4" w:fontKey="{476FDF7A-D80D-427D-8E66-D5C9A8B96B29}"/>
  </w:font>
  <w:font w:name="楷体_GB2312">
    <w:panose1 w:val="02010609030101010101"/>
    <w:charset w:val="86"/>
    <w:family w:val="modern"/>
    <w:pitch w:val="default"/>
    <w:sig w:usb0="00000001" w:usb1="080E0000" w:usb2="00000000" w:usb3="00000000" w:csb0="00040000" w:csb1="00000000"/>
    <w:embedRegular r:id="rId5" w:fontKey="{992F8FC0-775E-4AF8-8EF2-1A075771CF1A}"/>
  </w:font>
  <w:font w:name="楷体">
    <w:panose1 w:val="02010609060101010101"/>
    <w:charset w:val="86"/>
    <w:family w:val="modern"/>
    <w:pitch w:val="default"/>
    <w:sig w:usb0="800002BF" w:usb1="38CF7CFA" w:usb2="00000016" w:usb3="00000000" w:csb0="00040001" w:csb1="00000000"/>
    <w:embedRegular r:id="rId6" w:fontKey="{9E965131-D546-480B-A965-6ADDD1EB8171}"/>
  </w:font>
  <w:font w:name="微软雅黑">
    <w:panose1 w:val="020B0503020204020204"/>
    <w:charset w:val="86"/>
    <w:family w:val="swiss"/>
    <w:pitch w:val="variable"/>
    <w:sig w:usb0="80000287" w:usb1="2ACF3C50" w:usb2="00000016" w:usb3="00000000" w:csb0="0004001F"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B2193">
    <w:pPr>
      <w:pStyle w:val="7"/>
      <w:jc w:val="center"/>
    </w:pPr>
  </w:p>
  <w:p w14:paraId="5A30D155">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D0DA5">
    <w:pPr>
      <w:pStyle w:val="7"/>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17780</wp:posOffset>
              </wp:positionV>
              <wp:extent cx="795655" cy="351790"/>
              <wp:effectExtent l="0" t="0" r="0" b="0"/>
              <wp:wrapNone/>
              <wp:docPr id="2" name="文本框 2"/>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4DA903">
                          <w:pPr>
                            <w:pStyle w:val="7"/>
                            <w:rPr>
                              <w:sz w:val="24"/>
                              <w:szCs w:val="24"/>
                            </w:rPr>
                          </w:pPr>
                          <w:r>
                            <w:rPr>
                              <w:sz w:val="24"/>
                              <w:szCs w:val="24"/>
                            </w:rPr>
                            <w:t>—</w:t>
                          </w:r>
                          <w:r>
                            <w:rPr>
                              <w:sz w:val="24"/>
                              <w:szCs w:val="24"/>
                            </w:rPr>
                            <w:fldChar w:fldCharType="begin"/>
                          </w:r>
                          <w:r>
                            <w:rPr>
                              <w:sz w:val="24"/>
                              <w:szCs w:val="24"/>
                            </w:rPr>
                            <w:instrText xml:space="preserve"> PAGE  \* MERGEFORMAT </w:instrText>
                          </w:r>
                          <w:r>
                            <w:rPr>
                              <w:sz w:val="24"/>
                              <w:szCs w:val="24"/>
                            </w:rPr>
                            <w:fldChar w:fldCharType="separate"/>
                          </w:r>
                          <w:r>
                            <w:rPr>
                              <w:sz w:val="24"/>
                              <w:szCs w:val="24"/>
                            </w:rPr>
                            <w:t>- 1 -</w:t>
                          </w:r>
                          <w:r>
                            <w:rPr>
                              <w:sz w:val="24"/>
                              <w:szCs w:val="24"/>
                            </w:rPr>
                            <w:fldChar w:fldCharType="end"/>
                          </w:r>
                          <w:r>
                            <w:rPr>
                              <w:sz w:val="24"/>
                              <w:szCs w:val="24"/>
                            </w:rPr>
                            <w:t>—</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4pt;height:27.7pt;width:62.65pt;mso-position-horizontal:center;mso-position-horizontal-relative:margin;z-index:251660288;mso-width-relative:page;mso-height-relative:page;" filled="f" stroked="f" coordsize="21600,21600" o:gfxdata="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UKal8tUAAAAFAQAADwAAAAAAAAABACAAAAAiAAAAZHJzL2Rvd25yZXYueG1sUEsB&#10;AhQAFAAAAAgAh07iQGJkF9QxAgAAVQQAAA4AAAAAAAAAAQAgAAAAJAEAAGRycy9lMm9Eb2MueG1s&#10;UEsFBgAAAAAGAAYAWQEAAMcFAAAAAA==&#10;">
              <v:fill on="f" focussize="0,0"/>
              <v:stroke on="f" weight="0.5pt"/>
              <v:imagedata o:title=""/>
              <o:lock v:ext="edit" aspectratio="f"/>
              <v:textbox inset="0mm,0mm,0mm,0mm">
                <w:txbxContent>
                  <w:p w14:paraId="394DA903">
                    <w:pPr>
                      <w:pStyle w:val="7"/>
                      <w:rPr>
                        <w:sz w:val="24"/>
                        <w:szCs w:val="24"/>
                      </w:rPr>
                    </w:pPr>
                    <w:r>
                      <w:rPr>
                        <w:sz w:val="24"/>
                        <w:szCs w:val="24"/>
                      </w:rPr>
                      <w:t>—</w:t>
                    </w:r>
                    <w:r>
                      <w:rPr>
                        <w:sz w:val="24"/>
                        <w:szCs w:val="24"/>
                      </w:rPr>
                      <w:fldChar w:fldCharType="begin"/>
                    </w:r>
                    <w:r>
                      <w:rPr>
                        <w:sz w:val="24"/>
                        <w:szCs w:val="24"/>
                      </w:rPr>
                      <w:instrText xml:space="preserve"> PAGE  \* MERGEFORMAT </w:instrText>
                    </w:r>
                    <w:r>
                      <w:rPr>
                        <w:sz w:val="24"/>
                        <w:szCs w:val="24"/>
                      </w:rPr>
                      <w:fldChar w:fldCharType="separate"/>
                    </w:r>
                    <w:r>
                      <w:rPr>
                        <w:sz w:val="24"/>
                        <w:szCs w:val="24"/>
                      </w:rPr>
                      <w:t>- 1 -</w:t>
                    </w:r>
                    <w:r>
                      <w:rPr>
                        <w:sz w:val="24"/>
                        <w:szCs w:val="24"/>
                      </w:rPr>
                      <w:fldChar w:fldCharType="end"/>
                    </w:r>
                    <w:r>
                      <w:rPr>
                        <w:sz w:val="24"/>
                        <w:szCs w:val="24"/>
                      </w:rPr>
                      <w:t>—</w:t>
                    </w:r>
                  </w:p>
                </w:txbxContent>
              </v:textbox>
            </v:shape>
          </w:pict>
        </mc:Fallback>
      </mc:AlternateContent>
    </w:r>
  </w:p>
  <w:p w14:paraId="098C9424">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E848D">
    <w:pPr>
      <w:ind w:left="6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F87D63"/>
    <w:multiLevelType w:val="singleLevel"/>
    <w:tmpl w:val="B9F87D63"/>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B24F4D"/>
    <w:rsid w:val="08610ACC"/>
    <w:rsid w:val="0F79084E"/>
    <w:rsid w:val="23231479"/>
    <w:rsid w:val="24355760"/>
    <w:rsid w:val="36336791"/>
    <w:rsid w:val="41436E89"/>
    <w:rsid w:val="77723607"/>
    <w:rsid w:val="79F1153D"/>
    <w:rsid w:val="7EB24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Courier New" w:cs="Times New Roman"/>
      <w:kern w:val="2"/>
      <w:sz w:val="21"/>
      <w:szCs w:val="21"/>
      <w:lang w:val="en-US" w:eastAsia="zh-CN" w:bidi="ar-SA"/>
    </w:rPr>
  </w:style>
  <w:style w:type="paragraph" w:styleId="4">
    <w:name w:val="heading 1"/>
    <w:basedOn w:val="1"/>
    <w:next w:val="1"/>
    <w:qFormat/>
    <w:uiPriority w:val="1"/>
    <w:pPr>
      <w:keepNext/>
      <w:keepLines/>
      <w:spacing w:before="340" w:after="330" w:line="576" w:lineRule="auto"/>
      <w:outlineLvl w:val="0"/>
    </w:pPr>
    <w:rPr>
      <w:b/>
      <w:kern w:val="44"/>
      <w:sz w:val="44"/>
    </w:rPr>
  </w:style>
  <w:style w:type="paragraph" w:styleId="5">
    <w:name w:val="heading 2"/>
    <w:basedOn w:val="1"/>
    <w:next w:val="1"/>
    <w:qFormat/>
    <w:uiPriority w:val="1"/>
    <w:pPr>
      <w:keepNext/>
      <w:keepLines/>
      <w:adjustRightInd w:val="0"/>
      <w:snapToGrid w:val="0"/>
      <w:spacing w:before="260" w:after="260" w:line="416" w:lineRule="auto"/>
      <w:ind w:firstLine="600" w:firstLineChars="200"/>
      <w:outlineLvl w:val="1"/>
    </w:pPr>
    <w:rPr>
      <w:rFonts w:ascii="Arial" w:hAnsi="Arial" w:eastAsia="Symbol"/>
      <w:b/>
      <w:bCs/>
      <w:sz w:val="32"/>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style>
  <w:style w:type="paragraph" w:styleId="3">
    <w:name w:val="Body Text Indent"/>
    <w:basedOn w:val="1"/>
    <w:qFormat/>
    <w:uiPriority w:val="0"/>
    <w:pPr>
      <w:spacing w:after="120"/>
      <w:ind w:left="420" w:leftChars="200"/>
      <w:jc w:val="left"/>
    </w:pPr>
    <w:rPr>
      <w:rFonts w:hint="eastAsia" w:ascii="宋体" w:hAnsi="宋体" w:eastAsia="宋体"/>
      <w:kern w:val="0"/>
      <w:sz w:val="24"/>
      <w:szCs w:val="24"/>
    </w:rPr>
  </w:style>
  <w:style w:type="paragraph" w:styleId="6">
    <w:name w:val="Body Text"/>
    <w:basedOn w:val="1"/>
    <w:unhideWhenUsed/>
    <w:qFormat/>
    <w:uiPriority w:val="1"/>
    <w:pPr>
      <w:spacing w:after="120"/>
    </w:pPr>
  </w:style>
  <w:style w:type="paragraph" w:styleId="7">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Table Paragraph"/>
    <w:basedOn w:val="1"/>
    <w:autoRedefine/>
    <w:qFormat/>
    <w:uiPriority w:val="1"/>
    <w:pPr>
      <w:widowControl/>
      <w:spacing w:before="120" w:after="240"/>
    </w:pPr>
    <w:rPr>
      <w:rFonts w:ascii="仿宋" w:hAnsi="仿宋" w:eastAsia="仿宋" w:cs="仿宋"/>
      <w:kern w:val="0"/>
      <w:sz w:val="2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收入预算情况</a:t>
            </a:r>
          </a:p>
        </c:rich>
      </c:tx>
      <c:layout/>
      <c:overlay val="0"/>
      <c:spPr>
        <a:noFill/>
        <a:ln>
          <a:noFill/>
        </a:ln>
        <a:effectLst/>
      </c:spPr>
    </c:title>
    <c:autoTitleDeleted val="0"/>
    <c:plotArea>
      <c:layout/>
      <c:pieChart>
        <c:varyColors val="1"/>
        <c:ser>
          <c:idx val="0"/>
          <c:order val="0"/>
          <c:tx>
            <c:strRef>
              <c:f>Sheet1!$B$1</c:f>
              <c:strCache>
                <c:ptCount val="1"/>
                <c:pt idx="0">
                  <c:v/>
                </c:pt>
              </c:strCache>
            </c:strRef>
          </c:tx>
          <c:spPr/>
          <c:explosion val="0"/>
          <c:dPt>
            <c:idx val="0"/>
            <c:bubble3D val="0"/>
            <c:explosion val="1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manualLayout>
                  <c:x val="0.21178358484889"/>
                  <c:y val="-0.223508773458488"/>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本年一般公共预算收入1,463.60</a:t>
                    </a:r>
                  </a:p>
                </c:rich>
              </c:tx>
              <c:dLblPos val="bestFit"/>
              <c:showLegendKey val="0"/>
              <c:showVal val="1"/>
              <c:showCatName val="1"/>
              <c:showSerName val="0"/>
              <c:showPercent val="1"/>
              <c:showBubbleSize val="0"/>
              <c:separator>
</c:separator>
              <c:extLst>
                <c:ext xmlns:c15="http://schemas.microsoft.com/office/drawing/2012/chart" uri="{CE6537A1-D6FC-4f65-9D91-7224C49458BB}">
                  <c15:layout/>
                </c:ext>
              </c:extLst>
            </c:dLbl>
            <c:dLbl>
              <c:idx val="1"/>
              <c:layout>
                <c:manualLayout>
                  <c:x val="-0.219998152456639"/>
                  <c:y val="0.0967501435480028"/>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上年结转结余的一般公共预算收入157.3</a:t>
                    </a:r>
                  </a:p>
                </c:rich>
              </c:tx>
              <c:dLblPos val="bestFit"/>
              <c:showLegendKey val="0"/>
              <c:showVal val="1"/>
              <c:showCatName val="1"/>
              <c:showSerName val="0"/>
              <c:showPercent val="1"/>
              <c:showBubbleSize val="0"/>
              <c:separator>
</c:separator>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1"/>
            <c:showCatName val="1"/>
            <c:showSerName val="0"/>
            <c:showPercent val="1"/>
            <c:showBubbleSize val="0"/>
            <c:separator>
</c:separator>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本年一般公共预算收入</c:v>
                </c:pt>
                <c:pt idx="1">
                  <c:v>上年结转结余的一般公共预算收入</c:v>
                </c:pt>
              </c:strCache>
            </c:strRef>
          </c:cat>
          <c:val>
            <c:numRef>
              <c:f>Sheet1!$B$2:$B$3</c:f>
              <c:numCache>
                <c:formatCode>#,##0.00</c:formatCode>
                <c:ptCount val="2"/>
                <c:pt idx="0">
                  <c:v>1463.6</c:v>
                </c:pt>
                <c:pt idx="1" c:formatCode="General">
                  <c:v>157.3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f4727709-0c38-4303-9f5c-a5c0867bf156}"/>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forceAA="0"/>
          <a:lstStyle/>
          <a:p>
            <a:pPr defTabSz="914400">
              <a:defRPr lang="zh-CN" sz="14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r>
              <a:t>支出预算情况</a:t>
            </a:r>
          </a:p>
        </c:rich>
      </c:tx>
      <c:layout>
        <c:manualLayout>
          <c:xMode val="edge"/>
          <c:yMode val="edge"/>
          <c:x val="0.442498187968108"/>
          <c:y val="0.0235869103272418"/>
        </c:manualLayout>
      </c:layout>
      <c:overlay val="0"/>
      <c:spPr>
        <a:noFill/>
        <a:ln>
          <a:noFill/>
        </a:ln>
        <a:effectLst/>
      </c:spPr>
    </c:title>
    <c:autoTitleDeleted val="0"/>
    <c:plotArea>
      <c:layout>
        <c:manualLayout>
          <c:layoutTarget val="inner"/>
          <c:xMode val="edge"/>
          <c:yMode val="edge"/>
          <c:x val="0.233215752597246"/>
          <c:y val="0.213994900127497"/>
          <c:w val="0.393438028509302"/>
          <c:h val="0.692069698257544"/>
        </c:manualLayout>
      </c:layout>
      <c:pieChart>
        <c:varyColors val="1"/>
        <c:ser>
          <c:idx val="0"/>
          <c:order val="0"/>
          <c:tx>
            <c:strRef>
              <c:f>Sheet1!$B$1</c:f>
              <c:strCache>
                <c:ptCount val="1"/>
                <c:pt idx="0">
                  <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manualLayout>
                  <c:x val="0.180115970041073"/>
                  <c:y val="-0.0180620484487888"/>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1"/>
              <c:layout>
                <c:manualLayout>
                  <c:x val="-0.163566078762986"/>
                  <c:y val="0.0254993625159371"/>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forceAA="0"/>
              <a:lstStyle/>
              <a:p>
                <a:pPr>
                  <a:defRPr lang="zh-CN" sz="1000" b="0" i="0" u="none" strike="noStrike" kern="1200" baseline="0">
                    <a:solidFill>
                      <a:schemeClr val="tx1">
                        <a:lumMod val="75000"/>
                        <a:lumOff val="2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dLblPos val="outEnd"/>
            <c:showLegendKey val="0"/>
            <c:showVal val="0"/>
            <c:showCatName val="1"/>
            <c:showSerName val="0"/>
            <c:showPercent val="1"/>
            <c:showBubbleSize val="0"/>
            <c:separator>
</c:separator>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Sheet1!$A$2:$A$5</c15:sqref>
                  </c15:fullRef>
                </c:ext>
              </c:extLst>
              <c:f>Sheet1!$A$2:$A$3</c:f>
              <c:strCache>
                <c:ptCount val="2"/>
                <c:pt idx="0">
                  <c:v>基本支出</c:v>
                </c:pt>
                <c:pt idx="1">
                  <c:v>项目支出</c:v>
                </c:pt>
              </c:strCache>
            </c:strRef>
          </c:cat>
          <c:val>
            <c:numRef>
              <c:extLst>
                <c:ext xmlns:c15="http://schemas.microsoft.com/office/drawing/2012/chart" uri="{02D57815-91ED-43cb-92C2-25804820EDAC}">
                  <c15:fullRef>
                    <c15:sqref>Sheet1!$B$2:$B$5</c15:sqref>
                  </c15:fullRef>
                </c:ext>
              </c:extLst>
              <c:f>Sheet1!$B$2:$B$3</c:f>
              <c:numCache>
                <c:formatCode>#,##0.00</c:formatCode>
                <c:ptCount val="2"/>
                <c:pt idx="0">
                  <c:v>1401.38</c:v>
                </c:pt>
                <c:pt idx="1" c:formatCode="General">
                  <c:v>219.52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lumMod val="65000"/>
                  <a:lumOff val="35000"/>
                </a:schemeClr>
              </a:solidFill>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legend>
    <c:plotVisOnly val="1"/>
    <c:dispBlanksAs val="gap"/>
    <c:showDLblsOverMax val="0"/>
    <c:extLst>
      <c:ext uri="{0b15fc19-7d7d-44ad-8c2d-2c3a37ce22c3}">
        <chartProps xmlns="https://web.wps.cn/et/2018/main" chartId="{453f8a29-297f-4e93-be69-2d9ecae03136}"/>
      </c:ext>
    </c:extLst>
  </c:chart>
  <c:spPr>
    <a:solidFill>
      <a:schemeClr val="bg1"/>
    </a:solidFill>
    <a:ln w="6350" cap="flat" cmpd="sng" algn="ctr">
      <a:solidFill>
        <a:schemeClr val="tx1">
          <a:lumMod val="50000"/>
          <a:lumOff val="50000"/>
          <a:alpha val="25000"/>
        </a:schemeClr>
      </a:solidFill>
      <a:round/>
    </a:ln>
    <a:effectLst/>
  </c:spPr>
  <c:txPr>
    <a:bodyPr/>
    <a:lstStyle/>
    <a:p>
      <a:pPr>
        <a:defRPr lang="zh-CN">
          <a:latin typeface="微软雅黑" panose="020B0503020204020204" pitchFamily="34" charset="-122"/>
          <a:ea typeface="微软雅黑" panose="020B0503020204020204" pitchFamily="34" charset="-122"/>
          <a:cs typeface="微软雅黑" panose="020B0503020204020204" pitchFamily="34" charset="-122"/>
          <a:sym typeface="微软雅黑" panose="020B0503020204020204" pitchFamily="34" charset="-122"/>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8993</Words>
  <Characters>9800</Characters>
  <Lines>0</Lines>
  <Paragraphs>0</Paragraphs>
  <TotalTime>1</TotalTime>
  <ScaleCrop>false</ScaleCrop>
  <LinksUpToDate>false</LinksUpToDate>
  <CharactersWithSpaces>9823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2026-01-27T08:09:00Z</dcterms:created>
  <dc:creator>猫托萝啦</dc:creator>
  <cp:lastModifiedBy>辰殇</cp:lastModifiedBy>
  <dcterms:modified xsi:type="dcterms:W3CDTF">2026-03-03T03:51:36Z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78F35FD16EE74712B8F9051DD083D09D_13</vt:lpwstr>
  </property>
  <property fmtid="{D5CDD505-2E9C-101B-9397-08002B2CF9AE}" pid="4" name="KSOTemplateDocerSaveRecord">
    <vt:lpwstr>eyJoZGlkIjoiNGVjMTVmYTdjM2IyZTNhYzM3NzgwMDZmODZkNzRiZTMiLCJ1c2VySWQiOiI3MTI2MzUzMzEifQ==</vt:lpwstr>
  </property>
</Properties>
</file>