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E99CB">
      <w:pPr>
        <w:ind w:firstLine="640" w:firstLineChars="200"/>
        <w:rPr>
          <w:color w:val="auto"/>
          <w:sz w:val="32"/>
          <w:szCs w:val="32"/>
        </w:rPr>
      </w:pPr>
    </w:p>
    <w:p w14:paraId="3C24DF44">
      <w:pPr>
        <w:spacing w:line="560" w:lineRule="exact"/>
        <w:jc w:val="center"/>
        <w:rPr>
          <w:rFonts w:hint="eastAsia" w:ascii="宋体" w:hAnsi="宋体"/>
          <w:b/>
          <w:color w:val="auto"/>
          <w:sz w:val="44"/>
          <w:szCs w:val="44"/>
        </w:rPr>
      </w:pPr>
    </w:p>
    <w:p w14:paraId="6AECBBB8">
      <w:pPr>
        <w:spacing w:line="560" w:lineRule="exact"/>
        <w:jc w:val="center"/>
        <w:rPr>
          <w:rFonts w:hint="eastAsia" w:ascii="宋体" w:hAnsi="宋体"/>
          <w:b/>
          <w:color w:val="auto"/>
          <w:sz w:val="44"/>
          <w:szCs w:val="44"/>
        </w:rPr>
      </w:pPr>
    </w:p>
    <w:p w14:paraId="05011B62">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乌海市教育事业发展中心</w:t>
      </w:r>
    </w:p>
    <w:p w14:paraId="154B5B6A">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14:paraId="7F338767">
      <w:pPr>
        <w:spacing w:line="336" w:lineRule="auto"/>
        <w:jc w:val="center"/>
        <w:rPr>
          <w:rFonts w:hint="eastAsia" w:ascii="方正小标宋简体" w:eastAsia="方正小标宋简体"/>
          <w:color w:val="auto"/>
          <w:sz w:val="32"/>
          <w:szCs w:val="32"/>
        </w:rPr>
      </w:pPr>
    </w:p>
    <w:p w14:paraId="26668048">
      <w:pPr>
        <w:spacing w:line="336" w:lineRule="auto"/>
        <w:jc w:val="center"/>
        <w:rPr>
          <w:rFonts w:hint="eastAsia" w:ascii="方正小标宋简体" w:eastAsia="方正小标宋简体"/>
          <w:color w:val="auto"/>
          <w:sz w:val="32"/>
          <w:szCs w:val="32"/>
        </w:rPr>
      </w:pPr>
    </w:p>
    <w:p w14:paraId="6820CB7E">
      <w:pPr>
        <w:spacing w:line="336" w:lineRule="auto"/>
        <w:jc w:val="center"/>
        <w:rPr>
          <w:rFonts w:hint="eastAsia" w:ascii="方正小标宋简体" w:eastAsia="方正小标宋简体"/>
          <w:color w:val="auto"/>
          <w:sz w:val="32"/>
          <w:szCs w:val="32"/>
        </w:rPr>
      </w:pPr>
    </w:p>
    <w:p w14:paraId="05A5F8F1">
      <w:pPr>
        <w:spacing w:line="336" w:lineRule="auto"/>
        <w:jc w:val="center"/>
        <w:rPr>
          <w:rFonts w:hint="eastAsia" w:ascii="方正小标宋简体" w:eastAsia="方正小标宋简体"/>
          <w:color w:val="auto"/>
          <w:sz w:val="32"/>
          <w:szCs w:val="32"/>
        </w:rPr>
      </w:pPr>
    </w:p>
    <w:p w14:paraId="5A757604">
      <w:pPr>
        <w:spacing w:line="336" w:lineRule="auto"/>
        <w:jc w:val="center"/>
        <w:rPr>
          <w:rFonts w:hint="eastAsia" w:ascii="方正小标宋简体" w:eastAsia="方正小标宋简体"/>
          <w:color w:val="auto"/>
          <w:sz w:val="32"/>
          <w:szCs w:val="32"/>
        </w:rPr>
      </w:pPr>
    </w:p>
    <w:p w14:paraId="28316A71">
      <w:pPr>
        <w:spacing w:line="336" w:lineRule="auto"/>
        <w:jc w:val="center"/>
        <w:rPr>
          <w:rFonts w:hint="eastAsia" w:ascii="方正小标宋简体" w:eastAsia="方正小标宋简体"/>
          <w:color w:val="auto"/>
          <w:sz w:val="32"/>
          <w:szCs w:val="32"/>
        </w:rPr>
      </w:pPr>
    </w:p>
    <w:p w14:paraId="46C4E2EC">
      <w:pPr>
        <w:spacing w:line="336" w:lineRule="auto"/>
        <w:jc w:val="center"/>
        <w:rPr>
          <w:rFonts w:hint="eastAsia" w:ascii="方正小标宋简体" w:eastAsia="方正小标宋简体"/>
          <w:color w:val="auto"/>
          <w:sz w:val="32"/>
          <w:szCs w:val="32"/>
        </w:rPr>
      </w:pPr>
    </w:p>
    <w:p w14:paraId="06C76727">
      <w:pPr>
        <w:spacing w:line="336" w:lineRule="auto"/>
        <w:jc w:val="both"/>
        <w:rPr>
          <w:rFonts w:hint="eastAsia" w:ascii="方正小标宋简体" w:eastAsia="方正小标宋简体"/>
          <w:color w:val="auto"/>
          <w:sz w:val="32"/>
          <w:szCs w:val="32"/>
        </w:rPr>
      </w:pPr>
    </w:p>
    <w:p w14:paraId="4721B183">
      <w:pPr>
        <w:spacing w:line="336" w:lineRule="auto"/>
        <w:jc w:val="center"/>
        <w:rPr>
          <w:rFonts w:hint="eastAsia" w:ascii="方正小标宋简体" w:eastAsia="方正小标宋简体"/>
          <w:color w:val="auto"/>
          <w:sz w:val="32"/>
          <w:szCs w:val="32"/>
        </w:rPr>
      </w:pPr>
    </w:p>
    <w:p w14:paraId="60DF3C1C">
      <w:pPr>
        <w:spacing w:line="336" w:lineRule="auto"/>
        <w:jc w:val="center"/>
        <w:rPr>
          <w:rFonts w:hint="eastAsia" w:ascii="方正小标宋简体" w:eastAsia="方正小标宋简体"/>
          <w:color w:val="auto"/>
          <w:sz w:val="32"/>
          <w:szCs w:val="32"/>
        </w:rPr>
      </w:pPr>
    </w:p>
    <w:p w14:paraId="3245256A">
      <w:pPr>
        <w:spacing w:line="336" w:lineRule="auto"/>
        <w:ind w:left="0" w:leftChars="0" w:firstLine="0" w:firstLineChars="0"/>
        <w:jc w:val="both"/>
        <w:rPr>
          <w:rFonts w:hint="eastAsia" w:ascii="方正小标宋简体" w:eastAsia="方正小标宋简体"/>
          <w:color w:val="auto"/>
          <w:sz w:val="32"/>
          <w:szCs w:val="32"/>
        </w:rPr>
      </w:pPr>
    </w:p>
    <w:p w14:paraId="1AF778B3">
      <w:pPr>
        <w:adjustRightInd w:val="0"/>
        <w:snapToGrid w:val="0"/>
        <w:spacing w:line="360" w:lineRule="auto"/>
        <w:ind w:firstLine="640"/>
        <w:rPr>
          <w:rFonts w:hint="eastAsia" w:ascii="仿宋" w:hAnsi="仿宋" w:eastAsia="仿宋"/>
          <w:color w:val="auto"/>
          <w:sz w:val="32"/>
          <w:szCs w:val="32"/>
        </w:rPr>
      </w:pPr>
    </w:p>
    <w:p w14:paraId="026F69F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2026年2月26日</w:t>
      </w:r>
    </w:p>
    <w:p w14:paraId="6F8672D6">
      <w:pPr>
        <w:pStyle w:val="10"/>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14:paraId="1F0F3EFF">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14:paraId="54D18BB6">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14:paraId="4CD5AFF1">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部门概况</w:t>
      </w:r>
    </w:p>
    <w:p w14:paraId="596D179C">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一、部门主要职能、职责</w:t>
      </w:r>
    </w:p>
    <w:p w14:paraId="0A228E9F">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14:paraId="4BD6BD53">
      <w:pPr>
        <w:pStyle w:val="5"/>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三、单位主要工作任务及目标</w:t>
      </w:r>
    </w:p>
    <w:p w14:paraId="3402E9A6">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14:paraId="1D2C0A77">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14:paraId="22930885">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14:paraId="77207EF9">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14:paraId="2551A4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14:paraId="6284911F">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14:paraId="5C9EAF89">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14:paraId="402D53B7">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14:paraId="66996485">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14:paraId="73AEA838">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14:paraId="249675BB">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14:paraId="6521CC4F">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14:paraId="7A00EA2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14:paraId="6AE943EB">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14:paraId="08217DDD">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14:paraId="2804640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14:paraId="2117FF2C">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14:paraId="77D077DF">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14:paraId="0F027512">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14:paraId="089B926D">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14:paraId="343E6F8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14:paraId="7E87E6B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14:paraId="18DF78D8">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14:paraId="4681441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14:paraId="1D3F318D">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14:paraId="10061E8E">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14:paraId="082F54F6">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14:paraId="3BCBA12A">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14:paraId="111E4B5D">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14:paraId="77B7F058">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14:paraId="650A2C1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14:paraId="69592E61">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14:paraId="55C7A4E9">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14:paraId="58066143">
      <w:pPr>
        <w:keepNext w:val="0"/>
        <w:keepLines w:val="0"/>
        <w:pageBreakBefore w:val="0"/>
        <w:widowControl w:val="0"/>
        <w:kinsoku/>
        <w:wordWrap/>
        <w:overflowPunct/>
        <w:topLinePunct w:val="0"/>
        <w:autoSpaceDE/>
        <w:autoSpaceDN/>
        <w:bidi w:val="0"/>
        <w:adjustRightInd/>
        <w:snapToGrid/>
        <w:spacing w:line="520" w:lineRule="exact"/>
        <w:ind w:left="822" w:leftChars="257" w:firstLine="0" w:firstLineChars="0"/>
        <w:textAlignment w:val="auto"/>
        <w:rPr>
          <w:rFonts w:hint="eastAsia" w:ascii="Times New Roman" w:hAnsi="Times New Roman" w:eastAsia="仿宋_GB2312" w:cs="Times New Roman"/>
          <w:b/>
          <w:bCs/>
          <w:sz w:val="20"/>
          <w:szCs w:val="20"/>
          <w:highlight w:val="yellow"/>
          <w:lang w:eastAsia="zh-CN"/>
        </w:rPr>
      </w:pPr>
    </w:p>
    <w:p w14:paraId="1E17372C">
      <w:pPr>
        <w:keepNext w:val="0"/>
        <w:keepLines w:val="0"/>
        <w:pageBreakBefore w:val="0"/>
        <w:widowControl w:val="0"/>
        <w:kinsoku/>
        <w:wordWrap/>
        <w:overflowPunct/>
        <w:topLinePunct w:val="0"/>
        <w:autoSpaceDE/>
        <w:autoSpaceDN/>
        <w:bidi w:val="0"/>
        <w:adjustRightInd/>
        <w:snapToGrid/>
        <w:spacing w:line="520" w:lineRule="exact"/>
        <w:ind w:left="822" w:leftChars="257" w:firstLine="0" w:firstLineChars="0"/>
        <w:textAlignment w:val="auto"/>
        <w:rPr>
          <w:rFonts w:hint="eastAsia" w:ascii="Times New Roman" w:hAnsi="Times New Roman" w:eastAsia="仿宋_GB2312" w:cs="Times New Roman"/>
          <w:b/>
          <w:bCs/>
          <w:sz w:val="20"/>
          <w:szCs w:val="20"/>
          <w:highlight w:val="yellow"/>
          <w:lang w:eastAsia="zh-CN"/>
        </w:rPr>
      </w:pPr>
    </w:p>
    <w:p w14:paraId="10ADEFA4">
      <w:pPr>
        <w:keepNext w:val="0"/>
        <w:keepLines w:val="0"/>
        <w:pageBreakBefore w:val="0"/>
        <w:widowControl w:val="0"/>
        <w:kinsoku/>
        <w:wordWrap/>
        <w:overflowPunct/>
        <w:topLinePunct w:val="0"/>
        <w:autoSpaceDE/>
        <w:autoSpaceDN/>
        <w:bidi w:val="0"/>
        <w:adjustRightInd/>
        <w:snapToGrid/>
        <w:spacing w:line="520" w:lineRule="exact"/>
        <w:ind w:left="822" w:leftChars="257" w:firstLine="0" w:firstLineChars="0"/>
        <w:textAlignment w:val="auto"/>
        <w:rPr>
          <w:rFonts w:hint="eastAsia" w:ascii="Times New Roman" w:hAnsi="Times New Roman" w:eastAsia="仿宋_GB2312" w:cs="Times New Roman"/>
          <w:b/>
          <w:bCs/>
          <w:sz w:val="20"/>
          <w:szCs w:val="20"/>
          <w:highlight w:val="yellow"/>
          <w:lang w:eastAsia="zh-CN"/>
        </w:rPr>
      </w:pPr>
    </w:p>
    <w:p w14:paraId="7920069C">
      <w:pPr>
        <w:keepNext w:val="0"/>
        <w:keepLines w:val="0"/>
        <w:pageBreakBefore w:val="0"/>
        <w:widowControl w:val="0"/>
        <w:kinsoku/>
        <w:wordWrap/>
        <w:overflowPunct/>
        <w:topLinePunct w:val="0"/>
        <w:autoSpaceDE/>
        <w:autoSpaceDN/>
        <w:bidi w:val="0"/>
        <w:adjustRightInd/>
        <w:snapToGrid/>
        <w:spacing w:line="520" w:lineRule="exact"/>
        <w:ind w:left="822" w:leftChars="257" w:firstLine="0" w:firstLineChars="0"/>
        <w:textAlignment w:val="auto"/>
        <w:rPr>
          <w:rFonts w:hint="eastAsia" w:ascii="Times New Roman" w:hAnsi="Times New Roman" w:eastAsia="仿宋_GB2312" w:cs="Times New Roman"/>
          <w:b/>
          <w:bCs/>
          <w:sz w:val="20"/>
          <w:szCs w:val="20"/>
          <w:highlight w:val="yellow"/>
          <w:lang w:eastAsia="zh-CN"/>
        </w:rPr>
      </w:pPr>
    </w:p>
    <w:p w14:paraId="2E1CDE50">
      <w:pPr>
        <w:widowControl/>
        <w:spacing w:line="600" w:lineRule="exact"/>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kern w:val="0"/>
          <w:sz w:val="36"/>
          <w:szCs w:val="32"/>
          <w:lang w:bidi="ar"/>
        </w:rPr>
        <w:t>第一部分</w:t>
      </w:r>
      <w:r>
        <w:rPr>
          <w:rFonts w:hint="default" w:ascii="Times New Roman" w:hAnsi="Times New Roman" w:eastAsia="仿宋_GB2312" w:cs="Times New Roman"/>
          <w:b/>
          <w:bCs/>
          <w:color w:val="auto"/>
          <w:kern w:val="0"/>
          <w:sz w:val="36"/>
          <w:szCs w:val="32"/>
          <w:lang w:val="en-US" w:eastAsia="zh-CN" w:bidi="ar"/>
        </w:rPr>
        <w:t xml:space="preserve"> </w:t>
      </w:r>
      <w:r>
        <w:rPr>
          <w:rFonts w:hint="default" w:ascii="Times New Roman" w:hAnsi="Times New Roman" w:eastAsia="仿宋_GB2312" w:cs="Times New Roman"/>
          <w:b/>
          <w:bCs/>
          <w:color w:val="auto"/>
          <w:kern w:val="0"/>
          <w:sz w:val="36"/>
          <w:szCs w:val="32"/>
          <w:lang w:bidi="ar"/>
        </w:rPr>
        <w:t>部门概况</w:t>
      </w:r>
    </w:p>
    <w:p w14:paraId="78EF4D92">
      <w:pPr>
        <w:widowControl/>
        <w:spacing w:line="600" w:lineRule="exact"/>
        <w:ind w:firstLine="643" w:firstLineChars="200"/>
        <w:jc w:val="left"/>
        <w:rPr>
          <w:rFonts w:hint="default" w:ascii="Times New Roman" w:hAnsi="Times New Roman" w:eastAsia="仿宋_GB2312" w:cs="Times New Roman"/>
          <w:b/>
          <w:bCs/>
          <w:color w:val="auto"/>
          <w:kern w:val="0"/>
          <w:sz w:val="32"/>
          <w:szCs w:val="32"/>
          <w:lang w:bidi="ar"/>
        </w:rPr>
      </w:pPr>
    </w:p>
    <w:p w14:paraId="713DBCE6">
      <w:pPr>
        <w:pStyle w:val="2"/>
        <w:bidi w:val="0"/>
        <w:rPr>
          <w:rFonts w:hint="default" w:ascii="Times New Roman" w:hAnsi="Times New Roman" w:cs="Times New Roman"/>
        </w:rPr>
      </w:pPr>
      <w:r>
        <w:rPr>
          <w:rFonts w:hint="default" w:ascii="Times New Roman" w:hAnsi="Times New Roman" w:cs="Times New Roman"/>
        </w:rPr>
        <w:t>一、部门主要职能、职责</w:t>
      </w:r>
    </w:p>
    <w:p w14:paraId="65857A8B">
      <w:pPr>
        <w:pStyle w:val="3"/>
        <w:bidi w:val="0"/>
        <w:rPr>
          <w:rFonts w:hint="default" w:ascii="Times New Roman" w:hAnsi="Times New Roman" w:eastAsia="楷体_GB2312" w:cs="Times New Roman"/>
          <w:color w:val="auto"/>
          <w:szCs w:val="32"/>
        </w:rPr>
      </w:pPr>
      <w:r>
        <w:rPr>
          <w:rFonts w:hint="default" w:ascii="Times New Roman" w:hAnsi="Times New Roman" w:cs="Times New Roman"/>
        </w:rPr>
        <w:t>（一）单位职能</w:t>
      </w:r>
    </w:p>
    <w:p w14:paraId="75DFA615">
      <w:pPr>
        <w:bidi w:val="0"/>
        <w:rPr>
          <w:rFonts w:hint="default" w:ascii="Times New Roman" w:hAnsi="Times New Roman" w:cs="Times New Roman"/>
        </w:rPr>
      </w:pPr>
      <w:r>
        <w:rPr>
          <w:rFonts w:hint="default" w:ascii="Times New Roman" w:hAnsi="Times New Roman" w:cs="Times New Roman"/>
        </w:rPr>
        <w:t>乌海市教育事业发展中心，为乌海市教育局所属二级单位、相当于副处级，公益一类的事业单位。</w:t>
      </w:r>
    </w:p>
    <w:p w14:paraId="0BD4AC5C">
      <w:pPr>
        <w:pStyle w:val="3"/>
        <w:bidi w:val="0"/>
        <w:rPr>
          <w:rFonts w:hint="default" w:ascii="Times New Roman" w:hAnsi="Times New Roman" w:cs="Times New Roman"/>
        </w:rPr>
      </w:pPr>
      <w:r>
        <w:rPr>
          <w:rFonts w:hint="default" w:ascii="Times New Roman" w:hAnsi="Times New Roman" w:cs="Times New Roman"/>
        </w:rPr>
        <w:t>（二）单位职责</w:t>
      </w:r>
    </w:p>
    <w:p w14:paraId="3DF2C06E">
      <w:pPr>
        <w:bidi w:val="0"/>
        <w:rPr>
          <w:rFonts w:hint="default" w:ascii="Times New Roman" w:hAnsi="Times New Roman" w:cs="Times New Roman"/>
        </w:rPr>
      </w:pPr>
      <w:r>
        <w:rPr>
          <w:rFonts w:hint="default" w:ascii="Times New Roman" w:hAnsi="Times New Roman" w:cs="Times New Roman"/>
        </w:rPr>
        <w:t>1.负责全市中小学（幼儿园）校（园）长的岗位培训以及各类教育干部培训相关工作。</w:t>
      </w:r>
    </w:p>
    <w:p w14:paraId="35857B3F">
      <w:pPr>
        <w:bidi w:val="0"/>
        <w:rPr>
          <w:rFonts w:hint="default" w:ascii="Times New Roman" w:hAnsi="Times New Roman" w:cs="Times New Roman"/>
        </w:rPr>
      </w:pPr>
      <w:r>
        <w:rPr>
          <w:rFonts w:hint="default" w:ascii="Times New Roman" w:hAnsi="Times New Roman" w:cs="Times New Roman"/>
        </w:rPr>
        <w:t>2.负责全市中小学骨干教师的培训和新任教师的上岗培训；以及各类服务教师专业成长的研究研讨类专题专项培训，并对培训项目进行创新、研究、开发工作。</w:t>
      </w:r>
    </w:p>
    <w:p w14:paraId="51A4307B">
      <w:pPr>
        <w:bidi w:val="0"/>
        <w:rPr>
          <w:rFonts w:hint="default" w:ascii="Times New Roman" w:hAnsi="Times New Roman" w:cs="Times New Roman"/>
        </w:rPr>
      </w:pPr>
      <w:r>
        <w:rPr>
          <w:rFonts w:hint="default" w:ascii="Times New Roman" w:hAnsi="Times New Roman" w:cs="Times New Roman"/>
        </w:rPr>
        <w:t>3.负责全市学前和义务教育阶段教师继续教育，配合教育行政部门开展学校校本培训工作。</w:t>
      </w:r>
    </w:p>
    <w:p w14:paraId="2F75089A">
      <w:pPr>
        <w:bidi w:val="0"/>
        <w:rPr>
          <w:rFonts w:hint="default" w:ascii="Times New Roman" w:hAnsi="Times New Roman" w:cs="Times New Roman"/>
        </w:rPr>
      </w:pPr>
      <w:r>
        <w:rPr>
          <w:rFonts w:hint="default" w:ascii="Times New Roman" w:hAnsi="Times New Roman" w:cs="Times New Roman"/>
        </w:rPr>
        <w:t>4.负责全市各学段教育的教学研究指导、课程建设指导、教学检查评价、教师竞赛评选、课题研究指导和管理、名师工作室指导和管理、学生学业水平检测分析等辅助性工作，承担配合升学和模拟考试评卷及分析，协助指导全市各学校日常教育教学工作。</w:t>
      </w:r>
    </w:p>
    <w:p w14:paraId="534DD2D7">
      <w:pPr>
        <w:bidi w:val="0"/>
        <w:rPr>
          <w:rFonts w:hint="default" w:ascii="Times New Roman" w:hAnsi="Times New Roman" w:cs="Times New Roman"/>
        </w:rPr>
      </w:pPr>
      <w:r>
        <w:rPr>
          <w:rFonts w:hint="default" w:ascii="Times New Roman" w:hAnsi="Times New Roman" w:cs="Times New Roman"/>
        </w:rPr>
        <w:t>5.负责全市各级各类学校教育信息化、实验、图书等教育装备配备、各类和应用等业务指导工作。</w:t>
      </w:r>
    </w:p>
    <w:p w14:paraId="7E5C1D25">
      <w:pPr>
        <w:bidi w:val="0"/>
        <w:rPr>
          <w:rFonts w:hint="default" w:ascii="Times New Roman" w:hAnsi="Times New Roman" w:cs="Times New Roman"/>
        </w:rPr>
      </w:pPr>
      <w:r>
        <w:rPr>
          <w:rFonts w:hint="default" w:ascii="Times New Roman" w:hAnsi="Times New Roman" w:cs="Times New Roman"/>
        </w:rPr>
        <w:t>6.承担全市中小学信息化应用、实验教学应用活动以及人工智能、创客教育活动开展和信息化资源建设工作。</w:t>
      </w:r>
    </w:p>
    <w:p w14:paraId="3F095875">
      <w:pPr>
        <w:bidi w:val="0"/>
        <w:rPr>
          <w:rFonts w:hint="default" w:ascii="Times New Roman" w:hAnsi="Times New Roman" w:cs="Times New Roman"/>
        </w:rPr>
      </w:pPr>
      <w:r>
        <w:rPr>
          <w:rFonts w:hint="default" w:ascii="Times New Roman" w:hAnsi="Times New Roman" w:cs="Times New Roman"/>
        </w:rPr>
        <w:t>7.完成教育局交办的其他任务。</w:t>
      </w:r>
    </w:p>
    <w:p w14:paraId="365F63E1">
      <w:pPr>
        <w:pStyle w:val="2"/>
        <w:bidi w:val="0"/>
        <w:rPr>
          <w:rFonts w:hint="default" w:ascii="Times New Roman" w:hAnsi="Times New Roman" w:cs="Times New Roman"/>
        </w:rPr>
      </w:pPr>
      <w:r>
        <w:rPr>
          <w:rFonts w:hint="default" w:ascii="Times New Roman" w:hAnsi="Times New Roman" w:cs="Times New Roman"/>
        </w:rPr>
        <w:t>二、机构设置及部门预算单位构成情况</w:t>
      </w:r>
    </w:p>
    <w:p w14:paraId="305E7AB8">
      <w:pPr>
        <w:bidi w:val="0"/>
        <w:rPr>
          <w:rFonts w:hint="default" w:ascii="Times New Roman" w:hAnsi="Times New Roman" w:cs="Times New Roman"/>
        </w:rPr>
      </w:pPr>
      <w:r>
        <w:rPr>
          <w:rFonts w:hint="default" w:ascii="Times New Roman" w:hAnsi="Times New Roman" w:cs="Times New Roman"/>
        </w:rPr>
        <w:t>从预算单位构成看，</w:t>
      </w: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乌海市教育事业发展中心部门预算包括：</w:t>
      </w:r>
      <w:r>
        <w:rPr>
          <w:rFonts w:hint="default" w:ascii="Times New Roman" w:hAnsi="Times New Roman" w:cs="Times New Roman"/>
          <w:lang w:eastAsia="zh-CN"/>
        </w:rPr>
        <w:t>单位</w:t>
      </w:r>
      <w:r>
        <w:rPr>
          <w:rFonts w:hint="default" w:ascii="Times New Roman" w:hAnsi="Times New Roman" w:cs="Times New Roman"/>
        </w:rPr>
        <w:t>本级预算。</w:t>
      </w:r>
    </w:p>
    <w:p w14:paraId="18BDA211">
      <w:pPr>
        <w:pStyle w:val="3"/>
        <w:bidi w:val="0"/>
        <w:rPr>
          <w:rFonts w:hint="default" w:ascii="Times New Roman" w:hAnsi="Times New Roman" w:cs="Times New Roman"/>
        </w:rPr>
      </w:pPr>
      <w:r>
        <w:rPr>
          <w:rFonts w:hint="default" w:ascii="Times New Roman" w:hAnsi="Times New Roman" w:cs="Times New Roman"/>
        </w:rPr>
        <w:t>（一）</w:t>
      </w:r>
      <w:r>
        <w:rPr>
          <w:rFonts w:hint="default" w:ascii="Times New Roman" w:hAnsi="Times New Roman" w:cs="Times New Roman"/>
          <w:lang w:eastAsia="zh-CN"/>
        </w:rPr>
        <w:t>乌海市教育事业</w:t>
      </w:r>
      <w:r>
        <w:rPr>
          <w:rFonts w:hint="default" w:ascii="Times New Roman" w:hAnsi="Times New Roman" w:cs="Times New Roman"/>
        </w:rPr>
        <w:t>发展</w:t>
      </w:r>
      <w:r>
        <w:rPr>
          <w:rFonts w:hint="default" w:ascii="Times New Roman" w:hAnsi="Times New Roman" w:cs="Times New Roman"/>
          <w:lang w:eastAsia="zh-CN"/>
        </w:rPr>
        <w:t>中心</w:t>
      </w:r>
      <w:r>
        <w:rPr>
          <w:rFonts w:hint="default" w:ascii="Times New Roman" w:hAnsi="Times New Roman" w:cs="Times New Roman"/>
        </w:rPr>
        <w:t>部门机构</w:t>
      </w:r>
    </w:p>
    <w:p w14:paraId="3FC7BE2E">
      <w:pPr>
        <w:bidi w:val="0"/>
        <w:rPr>
          <w:rFonts w:hint="default" w:ascii="Times New Roman" w:hAnsi="Times New Roman" w:eastAsia="仿宋_GB2312" w:cs="Times New Roman"/>
          <w:color w:val="auto"/>
          <w:szCs w:val="32"/>
        </w:rPr>
      </w:pP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w:t>
      </w:r>
      <w:r>
        <w:rPr>
          <w:rFonts w:hint="default" w:ascii="Times New Roman" w:hAnsi="Times New Roman" w:cs="Times New Roman"/>
          <w:lang w:eastAsia="zh-CN"/>
        </w:rPr>
        <w:t>乌海市教育事业发展中心</w:t>
      </w:r>
      <w:r>
        <w:rPr>
          <w:rFonts w:hint="default" w:ascii="Times New Roman" w:hAnsi="Times New Roman" w:cs="Times New Roman"/>
        </w:rPr>
        <w:t>共有机构数</w:t>
      </w:r>
      <w:r>
        <w:rPr>
          <w:rFonts w:hint="default" w:ascii="Times New Roman" w:hAnsi="Times New Roman" w:cs="Times New Roman"/>
          <w:lang w:val="en-US" w:eastAsia="zh-CN"/>
        </w:rPr>
        <w:t>1</w:t>
      </w:r>
      <w:r>
        <w:rPr>
          <w:rFonts w:hint="default" w:ascii="Times New Roman" w:hAnsi="Times New Roman" w:cs="Times New Roman"/>
        </w:rPr>
        <w:t>家，其中财政拨款的行政单位</w:t>
      </w:r>
      <w:r>
        <w:rPr>
          <w:rFonts w:hint="default" w:ascii="Times New Roman" w:hAnsi="Times New Roman" w:cs="Times New Roman"/>
          <w:lang w:val="en-US" w:eastAsia="zh-CN"/>
        </w:rPr>
        <w:t>0</w:t>
      </w:r>
      <w:r>
        <w:rPr>
          <w:rFonts w:hint="default" w:ascii="Times New Roman" w:hAnsi="Times New Roman" w:cs="Times New Roman"/>
        </w:rPr>
        <w:t>家、参照公务员法管理的事业单位</w:t>
      </w:r>
      <w:r>
        <w:rPr>
          <w:rFonts w:hint="default" w:ascii="Times New Roman" w:hAnsi="Times New Roman" w:cs="Times New Roman"/>
          <w:lang w:val="en-US" w:eastAsia="zh-CN"/>
        </w:rPr>
        <w:t>0</w:t>
      </w:r>
      <w:r>
        <w:rPr>
          <w:rFonts w:hint="default" w:ascii="Times New Roman" w:hAnsi="Times New Roman" w:cs="Times New Roman"/>
        </w:rPr>
        <w:t>家、公益一类事业单位</w:t>
      </w:r>
      <w:r>
        <w:rPr>
          <w:rFonts w:hint="default" w:ascii="Times New Roman" w:hAnsi="Times New Roman" w:cs="Times New Roman"/>
          <w:lang w:val="en-US" w:eastAsia="zh-CN"/>
        </w:rPr>
        <w:t>1</w:t>
      </w:r>
      <w:r>
        <w:rPr>
          <w:rFonts w:hint="default" w:ascii="Times New Roman" w:hAnsi="Times New Roman" w:cs="Times New Roman"/>
        </w:rPr>
        <w:t>家、公益二类事业单位</w:t>
      </w:r>
      <w:r>
        <w:rPr>
          <w:rFonts w:hint="default" w:ascii="Times New Roman" w:hAnsi="Times New Roman" w:cs="Times New Roman"/>
          <w:lang w:val="en-US" w:eastAsia="zh-CN"/>
        </w:rPr>
        <w:t>0</w:t>
      </w:r>
      <w:r>
        <w:rPr>
          <w:rFonts w:hint="default" w:ascii="Times New Roman" w:hAnsi="Times New Roman" w:cs="Times New Roman"/>
        </w:rPr>
        <w:t>家。与去年相比，机构数量减少</w:t>
      </w:r>
      <w:r>
        <w:rPr>
          <w:rFonts w:hint="default" w:ascii="Times New Roman" w:hAnsi="Times New Roman" w:cs="Times New Roman"/>
          <w:lang w:val="en-US" w:eastAsia="zh-CN"/>
        </w:rPr>
        <w:t>0</w:t>
      </w:r>
      <w:r>
        <w:rPr>
          <w:rFonts w:hint="default" w:ascii="Times New Roman" w:hAnsi="Times New Roman" w:cs="Times New Roman"/>
        </w:rPr>
        <w:t>家，原因为单位机构未发生变动。</w:t>
      </w:r>
    </w:p>
    <w:p w14:paraId="6CD0DBA3">
      <w:pPr>
        <w:pStyle w:val="3"/>
        <w:bidi w:val="0"/>
        <w:rPr>
          <w:rFonts w:hint="default" w:ascii="Times New Roman" w:hAnsi="Times New Roman" w:cs="Times New Roman"/>
        </w:rPr>
      </w:pPr>
      <w:r>
        <w:rPr>
          <w:rFonts w:hint="default" w:ascii="Times New Roman" w:hAnsi="Times New Roman" w:cs="Times New Roman"/>
        </w:rPr>
        <w:t>（二）局属单位设置</w:t>
      </w:r>
    </w:p>
    <w:p w14:paraId="0ECE76DB">
      <w:pPr>
        <w:bidi w:val="0"/>
        <w:rPr>
          <w:rFonts w:hint="default" w:ascii="Times New Roman" w:hAnsi="Times New Roman" w:cs="Times New Roman"/>
        </w:rPr>
      </w:pPr>
      <w:r>
        <w:rPr>
          <w:rFonts w:hint="default" w:ascii="Times New Roman" w:hAnsi="Times New Roman" w:cs="Times New Roman"/>
        </w:rPr>
        <w:t>纳入本单位</w:t>
      </w: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部门预算编制范围的单位情况如下：</w:t>
      </w:r>
    </w:p>
    <w:p w14:paraId="6F615E17">
      <w:pPr>
        <w:bidi w:val="0"/>
        <w:jc w:val="center"/>
        <w:rPr>
          <w:rFonts w:hint="default" w:ascii="Times New Roman" w:hAnsi="Times New Roman" w:cs="Times New Roman"/>
        </w:rPr>
      </w:pPr>
    </w:p>
    <w:p w14:paraId="5C21A30A">
      <w:pPr>
        <w:bidi w:val="0"/>
        <w:jc w:val="center"/>
        <w:rPr>
          <w:rFonts w:hint="default" w:ascii="Times New Roman" w:hAnsi="Times New Roman" w:cs="Times New Roman"/>
        </w:rPr>
      </w:pPr>
      <w:r>
        <w:rPr>
          <w:rFonts w:hint="default" w:ascii="Times New Roman" w:hAnsi="Times New Roman" w:cs="Times New Roman"/>
        </w:rPr>
        <w:t>预算单位情况表</w:t>
      </w:r>
    </w:p>
    <w:p w14:paraId="2D464090">
      <w:pPr>
        <w:bidi w:val="0"/>
        <w:jc w:val="center"/>
        <w:rPr>
          <w:rFonts w:hint="default" w:ascii="Times New Roman" w:hAnsi="Times New Roman" w:cs="Times New Roman"/>
          <w:lang w:val="zh-CN"/>
        </w:rPr>
      </w:pPr>
    </w:p>
    <w:tbl>
      <w:tblPr>
        <w:tblStyle w:val="11"/>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14:paraId="650FD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3" w:hRule="atLeast"/>
        </w:trPr>
        <w:tc>
          <w:tcPr>
            <w:tcW w:w="1203" w:type="dxa"/>
            <w:noWrap w:val="0"/>
            <w:vAlign w:val="top"/>
          </w:tcPr>
          <w:p w14:paraId="7EED5C77">
            <w:pPr>
              <w:pStyle w:val="19"/>
              <w:keepNext w:val="0"/>
              <w:keepLines w:val="0"/>
              <w:suppressLineNumbers w:val="0"/>
              <w:spacing w:before="0" w:beforeAutospacing="0" w:after="0" w:afterAutospacing="0" w:line="600" w:lineRule="exact"/>
              <w:ind w:left="0" w:leftChars="0" w:right="0" w:firstLine="0" w:firstLineChars="0"/>
              <w:contextualSpacing/>
              <w:jc w:val="center"/>
              <w:rPr>
                <w:rFonts w:hint="default" w:ascii="Times New Roman" w:hAnsi="Times New Roman" w:cs="Times New Roman"/>
                <w:b/>
                <w:color w:val="auto"/>
                <w:sz w:val="32"/>
                <w:u w:val="none"/>
              </w:rPr>
            </w:pPr>
            <w:r>
              <w:rPr>
                <w:rFonts w:hint="default" w:ascii="Times New Roman" w:hAnsi="Times New Roman" w:cs="Times New Roman"/>
                <w:b/>
                <w:color w:val="auto"/>
                <w:w w:val="99"/>
                <w:sz w:val="32"/>
                <w:u w:val="none"/>
              </w:rPr>
              <w:t>序号</w:t>
            </w:r>
          </w:p>
        </w:tc>
        <w:tc>
          <w:tcPr>
            <w:tcW w:w="3780" w:type="dxa"/>
            <w:noWrap w:val="0"/>
            <w:vAlign w:val="top"/>
          </w:tcPr>
          <w:p w14:paraId="29BE6AAE">
            <w:pPr>
              <w:pStyle w:val="19"/>
              <w:keepNext w:val="0"/>
              <w:keepLines w:val="0"/>
              <w:suppressLineNumbers w:val="0"/>
              <w:spacing w:before="0" w:beforeAutospacing="0" w:after="0" w:afterAutospacing="0" w:line="600" w:lineRule="exact"/>
              <w:ind w:left="0" w:leftChars="0" w:right="0" w:firstLine="0" w:firstLineChars="0"/>
              <w:contextualSpacing/>
              <w:jc w:val="center"/>
              <w:rPr>
                <w:rFonts w:hint="default" w:ascii="Times New Roman" w:hAnsi="Times New Roman" w:cs="Times New Roman"/>
                <w:b/>
                <w:color w:val="auto"/>
                <w:sz w:val="32"/>
                <w:u w:val="none"/>
              </w:rPr>
            </w:pPr>
            <w:r>
              <w:rPr>
                <w:rFonts w:hint="default" w:ascii="Times New Roman" w:hAnsi="Times New Roman" w:cs="Times New Roman"/>
                <w:b/>
                <w:color w:val="auto"/>
                <w:sz w:val="32"/>
                <w:u w:val="none"/>
              </w:rPr>
              <w:t>单位名称</w:t>
            </w:r>
          </w:p>
        </w:tc>
        <w:tc>
          <w:tcPr>
            <w:tcW w:w="3326" w:type="dxa"/>
            <w:noWrap w:val="0"/>
            <w:vAlign w:val="top"/>
          </w:tcPr>
          <w:p w14:paraId="31A2DE67">
            <w:pPr>
              <w:pStyle w:val="19"/>
              <w:keepNext w:val="0"/>
              <w:keepLines w:val="0"/>
              <w:suppressLineNumbers w:val="0"/>
              <w:spacing w:before="0" w:beforeAutospacing="0" w:after="0" w:afterAutospacing="0" w:line="600" w:lineRule="exact"/>
              <w:ind w:left="0" w:right="0"/>
              <w:contextualSpacing/>
              <w:jc w:val="center"/>
              <w:rPr>
                <w:rFonts w:hint="default" w:ascii="Times New Roman" w:hAnsi="Times New Roman" w:cs="Times New Roman"/>
                <w:b/>
                <w:color w:val="auto"/>
                <w:sz w:val="32"/>
                <w:u w:val="none"/>
              </w:rPr>
            </w:pPr>
            <w:r>
              <w:rPr>
                <w:rFonts w:hint="default" w:ascii="Times New Roman" w:hAnsi="Times New Roman" w:cs="Times New Roman"/>
                <w:b/>
                <w:color w:val="auto"/>
                <w:sz w:val="32"/>
                <w:u w:val="none"/>
              </w:rPr>
              <w:t>单位性质</w:t>
            </w:r>
          </w:p>
        </w:tc>
      </w:tr>
      <w:tr w14:paraId="23FA5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noWrap w:val="0"/>
            <w:vAlign w:val="top"/>
          </w:tcPr>
          <w:p w14:paraId="1599DFF4">
            <w:pPr>
              <w:pStyle w:val="19"/>
              <w:keepNext w:val="0"/>
              <w:keepLines w:val="0"/>
              <w:suppressLineNumbers w:val="0"/>
              <w:spacing w:before="0" w:beforeAutospacing="0" w:after="0" w:afterAutospacing="0" w:line="600" w:lineRule="exact"/>
              <w:ind w:left="0" w:right="0"/>
              <w:contextualSpacing/>
              <w:jc w:val="both"/>
              <w:rPr>
                <w:rFonts w:hint="default" w:ascii="Times New Roman" w:hAnsi="Times New Roman" w:cs="Times New Roman"/>
                <w:color w:val="auto"/>
                <w:sz w:val="32"/>
                <w:u w:val="none"/>
              </w:rPr>
            </w:pPr>
            <w:r>
              <w:rPr>
                <w:rFonts w:hint="default" w:ascii="Times New Roman" w:hAnsi="Times New Roman" w:cs="Times New Roman"/>
                <w:color w:val="auto"/>
                <w:sz w:val="32"/>
                <w:u w:val="none"/>
              </w:rPr>
              <w:t>1</w:t>
            </w:r>
          </w:p>
        </w:tc>
        <w:tc>
          <w:tcPr>
            <w:tcW w:w="3780" w:type="dxa"/>
            <w:noWrap w:val="0"/>
            <w:vAlign w:val="top"/>
          </w:tcPr>
          <w:p w14:paraId="03A0BC55">
            <w:pPr>
              <w:pStyle w:val="19"/>
              <w:keepNext w:val="0"/>
              <w:keepLines w:val="0"/>
              <w:suppressLineNumbers w:val="0"/>
              <w:spacing w:before="0" w:beforeAutospacing="0" w:after="0" w:afterAutospacing="0" w:line="600" w:lineRule="exact"/>
              <w:ind w:left="0" w:leftChars="0" w:right="0" w:firstLine="0" w:firstLineChars="0"/>
              <w:contextualSpacing/>
              <w:jc w:val="center"/>
              <w:rPr>
                <w:rFonts w:hint="default" w:ascii="Times New Roman" w:hAnsi="Times New Roman" w:cs="Times New Roman"/>
                <w:color w:val="auto"/>
                <w:sz w:val="32"/>
                <w:u w:val="none"/>
                <w:lang w:val="en-US"/>
              </w:rPr>
            </w:pPr>
            <w:r>
              <w:rPr>
                <w:rFonts w:hint="default" w:ascii="Times New Roman" w:hAnsi="Times New Roman" w:cs="Times New Roman"/>
                <w:sz w:val="32"/>
                <w:szCs w:val="21"/>
                <w:u w:val="none"/>
              </w:rPr>
              <w:t>乌海市教育事业发展中心</w:t>
            </w:r>
          </w:p>
        </w:tc>
        <w:tc>
          <w:tcPr>
            <w:tcW w:w="3326" w:type="dxa"/>
            <w:noWrap w:val="0"/>
            <w:vAlign w:val="top"/>
          </w:tcPr>
          <w:p w14:paraId="27F5DE37">
            <w:pPr>
              <w:keepNext w:val="0"/>
              <w:keepLines w:val="0"/>
              <w:widowControl/>
              <w:suppressLineNumbers w:val="0"/>
              <w:spacing w:before="0" w:beforeAutospacing="0" w:after="0" w:afterAutospacing="0"/>
              <w:ind w:left="0" w:leftChars="0" w:right="0" w:firstLine="0" w:firstLineChars="0"/>
              <w:jc w:val="center"/>
              <w:rPr>
                <w:rFonts w:hint="default" w:ascii="Times New Roman" w:hAnsi="Times New Roman" w:eastAsia="仿宋" w:cs="Times New Roman"/>
                <w:color w:val="000000"/>
                <w:kern w:val="0"/>
                <w:sz w:val="24"/>
                <w:szCs w:val="24"/>
                <w:highlight w:val="none"/>
                <w:u w:val="none"/>
                <w:lang w:val="en-US" w:eastAsia="zh-CN" w:bidi="ar"/>
              </w:rPr>
            </w:pPr>
            <w:r>
              <w:rPr>
                <w:rFonts w:hint="default" w:ascii="Times New Roman" w:hAnsi="Times New Roman" w:eastAsia="仿宋_GB2312" w:cs="Times New Roman"/>
                <w:color w:val="000000"/>
                <w:kern w:val="0"/>
                <w:sz w:val="32"/>
                <w:szCs w:val="32"/>
                <w:highlight w:val="none"/>
                <w:u w:val="none"/>
                <w:lang w:bidi="ar"/>
              </w:rPr>
              <w:t>公益一类事业单位</w:t>
            </w:r>
          </w:p>
        </w:tc>
      </w:tr>
    </w:tbl>
    <w:p w14:paraId="3CD85C1A">
      <w:pPr>
        <w:spacing w:line="240" w:lineRule="auto"/>
        <w:contextualSpacing/>
        <w:jc w:val="center"/>
        <w:rPr>
          <w:rFonts w:hint="default" w:ascii="Times New Roman" w:hAnsi="Times New Roman" w:eastAsia="楷体_GB2312" w:cs="Times New Roman"/>
          <w:color w:val="auto"/>
          <w:sz w:val="32"/>
          <w:szCs w:val="32"/>
        </w:rPr>
      </w:pPr>
    </w:p>
    <w:p w14:paraId="5A8EC0C8">
      <w:pPr>
        <w:pStyle w:val="3"/>
        <w:bidi w:val="0"/>
        <w:rPr>
          <w:rFonts w:hint="default" w:ascii="Times New Roman" w:hAnsi="Times New Roman" w:cs="Times New Roman"/>
        </w:rPr>
      </w:pPr>
      <w:r>
        <w:rPr>
          <w:rFonts w:hint="default" w:ascii="Times New Roman" w:hAnsi="Times New Roman" w:cs="Times New Roman"/>
        </w:rPr>
        <w:t>（三）</w:t>
      </w:r>
      <w:r>
        <w:rPr>
          <w:rFonts w:hint="default" w:ascii="Times New Roman" w:hAnsi="Times New Roman" w:cs="Times New Roman"/>
          <w:lang w:eastAsia="zh-CN"/>
        </w:rPr>
        <w:t>乌海市教育事业发展中心</w:t>
      </w:r>
      <w:r>
        <w:rPr>
          <w:rFonts w:hint="default" w:ascii="Times New Roman" w:hAnsi="Times New Roman" w:cs="Times New Roman"/>
        </w:rPr>
        <w:t>所属单位机构及人员基本情况</w:t>
      </w:r>
    </w:p>
    <w:p w14:paraId="50513C1D">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rPr>
        <w:t>。非独立核算公益一类事业单位，核定全额拨款事业单位编制</w:t>
      </w:r>
      <w:r>
        <w:rPr>
          <w:rFonts w:hint="default" w:ascii="Times New Roman" w:hAnsi="Times New Roman" w:cs="Times New Roman"/>
          <w:lang w:val="en-US" w:eastAsia="zh-CN"/>
        </w:rPr>
        <w:t>64</w:t>
      </w:r>
      <w:r>
        <w:rPr>
          <w:rFonts w:hint="default" w:ascii="Times New Roman" w:hAnsi="Times New Roman" w:cs="Times New Roman"/>
        </w:rPr>
        <w:t>个，实有人员</w:t>
      </w:r>
      <w:r>
        <w:rPr>
          <w:rFonts w:hint="default" w:ascii="Times New Roman" w:hAnsi="Times New Roman" w:cs="Times New Roman"/>
          <w:lang w:val="en-US" w:eastAsia="zh-CN"/>
        </w:rPr>
        <w:t>54</w:t>
      </w:r>
      <w:r>
        <w:rPr>
          <w:rFonts w:hint="default" w:ascii="Times New Roman" w:hAnsi="Times New Roman" w:cs="Times New Roman"/>
        </w:rPr>
        <w:t>人，比上年增加减少</w:t>
      </w:r>
      <w:r>
        <w:rPr>
          <w:rFonts w:hint="default" w:ascii="Times New Roman" w:hAnsi="Times New Roman" w:cs="Times New Roman"/>
          <w:lang w:val="en-US" w:eastAsia="zh-CN"/>
        </w:rPr>
        <w:t>6</w:t>
      </w:r>
      <w:r>
        <w:rPr>
          <w:rFonts w:hint="default" w:ascii="Times New Roman" w:hAnsi="Times New Roman" w:cs="Times New Roman"/>
        </w:rPr>
        <w:t>人，减少的原因为</w:t>
      </w:r>
      <w:r>
        <w:rPr>
          <w:rFonts w:hint="default" w:ascii="Times New Roman" w:hAnsi="Times New Roman" w:cs="Times New Roman"/>
          <w:lang w:eastAsia="zh-CN"/>
        </w:rPr>
        <w:t>退休</w:t>
      </w:r>
      <w:r>
        <w:rPr>
          <w:rFonts w:hint="default" w:ascii="Times New Roman" w:hAnsi="Times New Roman" w:cs="Times New Roman"/>
          <w:lang w:val="en-US" w:eastAsia="zh-CN"/>
        </w:rPr>
        <w:t>5人，调出1人</w:t>
      </w:r>
      <w:r>
        <w:rPr>
          <w:rFonts w:hint="default" w:ascii="Times New Roman" w:hAnsi="Times New Roman" w:cs="Times New Roman"/>
        </w:rPr>
        <w:t>。离退休职工</w:t>
      </w:r>
      <w:r>
        <w:rPr>
          <w:rFonts w:hint="default" w:ascii="Times New Roman" w:hAnsi="Times New Roman" w:cs="Times New Roman"/>
          <w:lang w:val="en-US" w:eastAsia="zh-CN"/>
        </w:rPr>
        <w:t>100</w:t>
      </w:r>
      <w:r>
        <w:rPr>
          <w:rFonts w:hint="default" w:ascii="Times New Roman" w:hAnsi="Times New Roman" w:cs="Times New Roman"/>
        </w:rPr>
        <w:t>人，比上年增加</w:t>
      </w:r>
      <w:r>
        <w:rPr>
          <w:rFonts w:hint="default" w:ascii="Times New Roman" w:hAnsi="Times New Roman" w:cs="Times New Roman"/>
          <w:lang w:val="en-US" w:eastAsia="zh-CN"/>
        </w:rPr>
        <w:t>5</w:t>
      </w:r>
      <w:r>
        <w:rPr>
          <w:rFonts w:hint="default" w:ascii="Times New Roman" w:hAnsi="Times New Roman" w:cs="Times New Roman"/>
        </w:rPr>
        <w:t>人，增加原因为有</w:t>
      </w:r>
      <w:r>
        <w:rPr>
          <w:rFonts w:hint="default" w:ascii="Times New Roman" w:hAnsi="Times New Roman" w:cs="Times New Roman"/>
          <w:lang w:val="en-US" w:eastAsia="zh-CN"/>
        </w:rPr>
        <w:t>5</w:t>
      </w:r>
      <w:r>
        <w:rPr>
          <w:rFonts w:hint="default" w:ascii="Times New Roman" w:hAnsi="Times New Roman" w:cs="Times New Roman"/>
        </w:rPr>
        <w:t>名在职人员退休。</w:t>
      </w:r>
    </w:p>
    <w:p w14:paraId="26CC61DA">
      <w:pPr>
        <w:bidi w:val="0"/>
        <w:rPr>
          <w:rFonts w:hint="default" w:ascii="Times New Roman" w:hAnsi="Times New Roman" w:cs="Times New Roman"/>
        </w:rPr>
      </w:pPr>
    </w:p>
    <w:p w14:paraId="6783A054">
      <w:pPr>
        <w:pStyle w:val="2"/>
        <w:bidi w:val="0"/>
        <w:rPr>
          <w:rFonts w:hint="default" w:ascii="Times New Roman" w:hAnsi="Times New Roman" w:cs="Times New Roman"/>
        </w:rPr>
      </w:pPr>
      <w:r>
        <w:rPr>
          <w:rFonts w:hint="default" w:ascii="Times New Roman" w:hAnsi="Times New Roman" w:cs="Times New Roman"/>
          <w:lang w:val="en-US" w:eastAsia="zh-CN"/>
        </w:rPr>
        <w:t>三、单位主要工作任务及目标</w:t>
      </w:r>
    </w:p>
    <w:p w14:paraId="7A1C7EB0">
      <w:pPr>
        <w:bidi w:val="0"/>
        <w:rPr>
          <w:rFonts w:hint="default" w:ascii="Times New Roman" w:hAnsi="Times New Roman" w:cs="Times New Roman"/>
          <w:lang w:val="en-US" w:eastAsia="zh-CN"/>
        </w:rPr>
      </w:pPr>
      <w:r>
        <w:rPr>
          <w:rFonts w:hint="default" w:ascii="Times New Roman" w:hAnsi="Times New Roman" w:cs="Times New Roman"/>
          <w:lang w:val="en-US" w:eastAsia="zh-CN"/>
        </w:rPr>
        <w:t>1.大力推进“一体化”基础教育教研工作。</w:t>
      </w:r>
    </w:p>
    <w:p w14:paraId="1B3DED4F">
      <w:pPr>
        <w:bidi w:val="0"/>
        <w:rPr>
          <w:rFonts w:hint="default" w:ascii="Times New Roman" w:hAnsi="Times New Roman" w:cs="Times New Roman"/>
          <w:lang w:val="en-US" w:eastAsia="zh-CN"/>
        </w:rPr>
      </w:pPr>
      <w:r>
        <w:rPr>
          <w:rFonts w:hint="default" w:ascii="Times New Roman" w:hAnsi="Times New Roman" w:cs="Times New Roman"/>
          <w:lang w:val="en-US" w:eastAsia="zh-CN"/>
        </w:rPr>
        <w:t>2.全面提升教师队伍培训水平。</w:t>
      </w:r>
    </w:p>
    <w:p w14:paraId="257E0372">
      <w:pPr>
        <w:bidi w:val="0"/>
        <w:rPr>
          <w:rFonts w:hint="default" w:ascii="Times New Roman" w:hAnsi="Times New Roman" w:cs="Times New Roman"/>
          <w:lang w:val="en-US" w:eastAsia="zh-CN"/>
        </w:rPr>
      </w:pPr>
      <w:r>
        <w:rPr>
          <w:rFonts w:hint="default" w:ascii="Times New Roman" w:hAnsi="Times New Roman" w:cs="Times New Roman"/>
          <w:lang w:val="en-US" w:eastAsia="zh-CN"/>
        </w:rPr>
        <w:t>3.倾力推动教育信息化建设。</w:t>
      </w:r>
    </w:p>
    <w:p w14:paraId="34464E90">
      <w:pPr>
        <w:bidi w:val="0"/>
        <w:rPr>
          <w:rFonts w:hint="default" w:ascii="Times New Roman" w:hAnsi="Times New Roman" w:cs="Times New Roman"/>
          <w:lang w:val="en-US" w:eastAsia="zh-CN"/>
        </w:rPr>
      </w:pPr>
      <w:r>
        <w:rPr>
          <w:rFonts w:hint="default" w:ascii="Times New Roman" w:hAnsi="Times New Roman" w:cs="Times New Roman"/>
          <w:lang w:val="en-US" w:eastAsia="zh-CN"/>
        </w:rPr>
        <w:t>4.切实提高教育装备工作。</w:t>
      </w:r>
    </w:p>
    <w:p w14:paraId="376AB5E1">
      <w:pPr>
        <w:bidi w:val="0"/>
        <w:rPr>
          <w:rFonts w:hint="default" w:ascii="Times New Roman" w:hAnsi="Times New Roman" w:cs="Times New Roman"/>
          <w:lang w:val="en-US" w:eastAsia="zh-CN"/>
        </w:rPr>
      </w:pPr>
      <w:r>
        <w:rPr>
          <w:rFonts w:hint="default" w:ascii="Times New Roman" w:hAnsi="Times New Roman" w:cs="Times New Roman"/>
          <w:lang w:val="en-US" w:eastAsia="zh-CN"/>
        </w:rPr>
        <w:t>5.切实发挥督导评价作用。</w:t>
      </w:r>
    </w:p>
    <w:p w14:paraId="57DEA22F">
      <w:pPr>
        <w:bidi w:val="0"/>
        <w:rPr>
          <w:rFonts w:hint="default" w:ascii="Times New Roman" w:hAnsi="Times New Roman" w:cs="Times New Roman"/>
        </w:rPr>
      </w:pPr>
    </w:p>
    <w:p w14:paraId="12AA5356">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b/>
          <w:color w:val="auto"/>
          <w:sz w:val="36"/>
          <w:szCs w:val="32"/>
        </w:rPr>
      </w:pPr>
      <w:r>
        <w:rPr>
          <w:rFonts w:hint="default" w:ascii="Times New Roman" w:hAnsi="Times New Roman" w:eastAsia="仿宋_GB2312" w:cs="Times New Roman"/>
          <w:b/>
          <w:bCs/>
          <w:color w:val="auto"/>
          <w:kern w:val="0"/>
          <w:sz w:val="36"/>
          <w:szCs w:val="32"/>
          <w:lang w:bidi="ar"/>
        </w:rPr>
        <w:t xml:space="preserve">第二部分 </w:t>
      </w:r>
      <w:r>
        <w:rPr>
          <w:rFonts w:hint="default" w:ascii="Times New Roman" w:hAnsi="Times New Roman" w:eastAsia="仿宋_GB2312" w:cs="Times New Roman"/>
          <w:b/>
          <w:bCs/>
          <w:color w:val="auto"/>
          <w:kern w:val="0"/>
          <w:sz w:val="36"/>
          <w:szCs w:val="32"/>
          <w:lang w:val="en-US" w:eastAsia="zh-CN" w:bidi="ar"/>
        </w:rPr>
        <w:t>2026</w:t>
      </w:r>
      <w:r>
        <w:rPr>
          <w:rFonts w:hint="default" w:ascii="Times New Roman" w:hAnsi="Times New Roman" w:eastAsia="仿宋_GB2312" w:cs="Times New Roman"/>
          <w:b/>
          <w:bCs/>
          <w:color w:val="auto"/>
          <w:kern w:val="0"/>
          <w:sz w:val="36"/>
          <w:szCs w:val="32"/>
          <w:lang w:eastAsia="zh-CN" w:bidi="ar"/>
        </w:rPr>
        <w:t>年</w:t>
      </w:r>
      <w:r>
        <w:rPr>
          <w:rFonts w:hint="default" w:ascii="Times New Roman" w:hAnsi="Times New Roman" w:eastAsia="仿宋_GB2312" w:cs="Times New Roman"/>
          <w:b/>
          <w:bCs/>
          <w:color w:val="auto"/>
          <w:kern w:val="0"/>
          <w:sz w:val="36"/>
          <w:szCs w:val="32"/>
          <w:lang w:bidi="ar"/>
        </w:rPr>
        <w:t>部门预算安排情况说明</w:t>
      </w:r>
    </w:p>
    <w:p w14:paraId="74A99313">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b/>
          <w:bCs/>
          <w:color w:val="auto"/>
          <w:kern w:val="0"/>
          <w:sz w:val="32"/>
          <w:szCs w:val="32"/>
          <w:lang w:bidi="ar"/>
        </w:rPr>
      </w:pPr>
    </w:p>
    <w:p w14:paraId="7C00065B">
      <w:pPr>
        <w:pStyle w:val="2"/>
        <w:bidi w:val="0"/>
        <w:rPr>
          <w:rFonts w:hint="default" w:ascii="Times New Roman" w:hAnsi="Times New Roman" w:cs="Times New Roman"/>
        </w:rPr>
      </w:pPr>
      <w:r>
        <w:rPr>
          <w:rFonts w:hint="default" w:ascii="Times New Roman" w:hAnsi="Times New Roman" w:cs="Times New Roman"/>
        </w:rPr>
        <w:t>一、</w:t>
      </w: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部门预算收支总体情况说明</w:t>
      </w:r>
    </w:p>
    <w:p w14:paraId="638F8E19">
      <w:pPr>
        <w:bidi w:val="0"/>
        <w:rPr>
          <w:rFonts w:hint="default" w:ascii="Times New Roman" w:hAnsi="Times New Roman" w:eastAsia="仿宋" w:cs="Times New Roman"/>
          <w:color w:val="auto"/>
          <w:szCs w:val="32"/>
          <w:lang w:eastAsia="zh-C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年收入、支出预算总计</w:t>
      </w:r>
      <w:r>
        <w:rPr>
          <w:rFonts w:hint="default" w:ascii="Times New Roman" w:hAnsi="Times New Roman" w:cs="Times New Roman"/>
          <w:lang w:val="en-US" w:eastAsia="zh-CN"/>
        </w:rPr>
        <w:t>1550.32</w:t>
      </w:r>
      <w:r>
        <w:rPr>
          <w:rFonts w:hint="default" w:ascii="Times New Roman" w:hAnsi="Times New Roman" w:cs="Times New Roman"/>
        </w:rPr>
        <w:t>万元，与上年相比收、支预算总计减少</w:t>
      </w:r>
      <w:r>
        <w:rPr>
          <w:rFonts w:hint="default" w:ascii="Times New Roman" w:hAnsi="Times New Roman" w:cs="Times New Roman"/>
          <w:lang w:val="en-US" w:eastAsia="zh-CN"/>
        </w:rPr>
        <w:t>51.95</w:t>
      </w:r>
      <w:r>
        <w:rPr>
          <w:rFonts w:hint="default" w:ascii="Times New Roman" w:hAnsi="Times New Roman" w:cs="Times New Roman"/>
        </w:rPr>
        <w:t>万元，</w:t>
      </w:r>
      <w:r>
        <w:rPr>
          <w:rFonts w:hint="default" w:ascii="Times New Roman" w:hAnsi="Times New Roman" w:cs="Times New Roman"/>
          <w:lang w:eastAsia="zh-CN"/>
        </w:rPr>
        <w:t>下降</w:t>
      </w:r>
      <w:r>
        <w:rPr>
          <w:rFonts w:hint="default" w:ascii="Times New Roman" w:hAnsi="Times New Roman" w:cs="Times New Roman"/>
          <w:lang w:val="en-US" w:eastAsia="zh-CN"/>
        </w:rPr>
        <w:t>3.24</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年退休人员增加，费用相应减少</w:t>
      </w:r>
      <w:r>
        <w:rPr>
          <w:rFonts w:hint="default" w:ascii="Times New Roman" w:hAnsi="Times New Roman" w:cs="Times New Roman"/>
          <w:lang w:eastAsia="zh-CN"/>
        </w:rPr>
        <w:t>。</w:t>
      </w:r>
    </w:p>
    <w:p w14:paraId="149CD944">
      <w:pPr>
        <w:pStyle w:val="4"/>
        <w:bidi w:val="0"/>
        <w:rPr>
          <w:rFonts w:hint="default" w:ascii="Times New Roman" w:hAnsi="Times New Roman" w:cs="Times New Roman"/>
        </w:rPr>
      </w:pPr>
      <w:r>
        <w:rPr>
          <w:rFonts w:hint="default" w:ascii="Times New Roman" w:hAnsi="Times New Roman" w:cs="Times New Roman"/>
        </w:rPr>
        <w:t>（一）收入预算总计</w:t>
      </w:r>
      <w:r>
        <w:rPr>
          <w:rFonts w:hint="default" w:ascii="Times New Roman" w:hAnsi="Times New Roman" w:cs="Times New Roman"/>
          <w:b w:val="0"/>
          <w:bCs w:val="0"/>
          <w:lang w:val="en-US" w:eastAsia="zh-CN"/>
        </w:rPr>
        <w:t>1550.32</w:t>
      </w:r>
      <w:r>
        <w:rPr>
          <w:rFonts w:hint="default" w:ascii="Times New Roman" w:hAnsi="Times New Roman" w:cs="Times New Roman"/>
        </w:rPr>
        <w:t>万元。包括：</w:t>
      </w:r>
    </w:p>
    <w:p w14:paraId="1659ED54">
      <w:pPr>
        <w:bidi w:val="0"/>
        <w:rPr>
          <w:rFonts w:hint="default" w:ascii="Times New Roman" w:hAnsi="Times New Roman" w:cs="Times New Roman"/>
        </w:rPr>
      </w:pPr>
      <w:r>
        <w:rPr>
          <w:rFonts w:hint="default" w:ascii="Times New Roman" w:hAnsi="Times New Roman" w:cs="Times New Roman"/>
        </w:rPr>
        <w:t>1</w:t>
      </w:r>
      <w:r>
        <w:rPr>
          <w:rFonts w:hint="eastAsia" w:cs="Times New Roman"/>
          <w:lang w:val="en-US" w:eastAsia="zh-CN"/>
        </w:rPr>
        <w:t>.</w:t>
      </w:r>
      <w:r>
        <w:rPr>
          <w:rFonts w:hint="default" w:ascii="Times New Roman" w:hAnsi="Times New Roman" w:cs="Times New Roman"/>
        </w:rPr>
        <w:t>本年收入合计</w:t>
      </w:r>
      <w:r>
        <w:rPr>
          <w:rFonts w:hint="default" w:ascii="Times New Roman" w:hAnsi="Times New Roman" w:cs="Times New Roman"/>
          <w:lang w:val="en-US" w:eastAsia="zh-CN"/>
        </w:rPr>
        <w:t>1550.32</w:t>
      </w:r>
      <w:r>
        <w:rPr>
          <w:rFonts w:hint="default" w:ascii="Times New Roman" w:hAnsi="Times New Roman" w:cs="Times New Roman"/>
        </w:rPr>
        <w:t>万元。</w:t>
      </w:r>
    </w:p>
    <w:p w14:paraId="10C12A97">
      <w:pPr>
        <w:bidi w:val="0"/>
        <w:rPr>
          <w:rFonts w:hint="default" w:ascii="Times New Roman" w:hAnsi="Times New Roman" w:cs="Times New Roman"/>
        </w:rPr>
      </w:pPr>
      <w:r>
        <w:rPr>
          <w:rFonts w:hint="default" w:ascii="Times New Roman" w:hAnsi="Times New Roman" w:cs="Times New Roman"/>
        </w:rPr>
        <w:t>（1）一般公共预算拨款收入</w:t>
      </w:r>
      <w:r>
        <w:rPr>
          <w:rFonts w:hint="default" w:ascii="Times New Roman" w:hAnsi="Times New Roman" w:cs="Times New Roman"/>
          <w:lang w:val="en-US" w:eastAsia="zh-CN"/>
        </w:rPr>
        <w:t>1550.32</w:t>
      </w:r>
      <w:r>
        <w:rPr>
          <w:rFonts w:hint="default" w:ascii="Times New Roman" w:hAnsi="Times New Roman" w:cs="Times New Roman"/>
        </w:rPr>
        <w:t>万元，与上年相比减少</w:t>
      </w:r>
      <w:r>
        <w:rPr>
          <w:rFonts w:hint="default" w:ascii="Times New Roman" w:hAnsi="Times New Roman" w:cs="Times New Roman"/>
          <w:lang w:val="en-US" w:eastAsia="zh-CN"/>
        </w:rPr>
        <w:t>51.95</w:t>
      </w:r>
      <w:r>
        <w:rPr>
          <w:rFonts w:hint="default" w:ascii="Times New Roman" w:hAnsi="Times New Roman" w:cs="Times New Roman"/>
        </w:rPr>
        <w:t>万元，</w:t>
      </w:r>
      <w:r>
        <w:rPr>
          <w:rFonts w:hint="default" w:ascii="Times New Roman" w:hAnsi="Times New Roman" w:cs="Times New Roman"/>
          <w:lang w:eastAsia="zh-CN"/>
        </w:rPr>
        <w:t>下降</w:t>
      </w:r>
      <w:r>
        <w:rPr>
          <w:rFonts w:hint="default" w:ascii="Times New Roman" w:hAnsi="Times New Roman" w:cs="Times New Roman"/>
          <w:lang w:val="en-US" w:eastAsia="zh-CN"/>
        </w:rPr>
        <w:t>3.24</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年退休人员增加，费用相应减少。</w:t>
      </w:r>
    </w:p>
    <w:p w14:paraId="4848B35A">
      <w:pPr>
        <w:bidi w:val="0"/>
        <w:rPr>
          <w:rFonts w:hint="default" w:ascii="Times New Roman" w:hAnsi="Times New Roman" w:cs="Times New Roman"/>
        </w:rPr>
      </w:pPr>
      <w:r>
        <w:rPr>
          <w:rFonts w:hint="default" w:ascii="Times New Roman" w:hAnsi="Times New Roman" w:cs="Times New Roman"/>
        </w:rPr>
        <w:t>（2）政府性基金预算拨款收入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7FD83F84">
      <w:pPr>
        <w:bidi w:val="0"/>
        <w:rPr>
          <w:rFonts w:hint="default" w:ascii="Times New Roman" w:hAnsi="Times New Roman" w:cs="Times New Roman"/>
        </w:rPr>
      </w:pPr>
      <w:r>
        <w:rPr>
          <w:rFonts w:hint="default" w:ascii="Times New Roman" w:hAnsi="Times New Roman" w:cs="Times New Roman"/>
        </w:rPr>
        <w:t>（3）国有资本经营预算拨款收入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7DF8C4B6">
      <w:pPr>
        <w:bidi w:val="0"/>
        <w:rPr>
          <w:rFonts w:hint="default" w:ascii="Times New Roman" w:hAnsi="Times New Roman" w:cs="Times New Roman"/>
        </w:rPr>
      </w:pPr>
      <w:r>
        <w:rPr>
          <w:rFonts w:hint="default" w:ascii="Times New Roman" w:hAnsi="Times New Roman" w:cs="Times New Roman"/>
        </w:rPr>
        <w:t>（4）财政专户管理资金收入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12C89D27">
      <w:pPr>
        <w:bidi w:val="0"/>
        <w:rPr>
          <w:rFonts w:hint="default" w:ascii="Times New Roman" w:hAnsi="Times New Roman" w:cs="Times New Roman"/>
        </w:rPr>
      </w:pPr>
      <w:r>
        <w:rPr>
          <w:rFonts w:hint="default" w:ascii="Times New Roman" w:hAnsi="Times New Roman" w:cs="Times New Roman"/>
        </w:rPr>
        <w:t>（5）事业收入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324410F0">
      <w:pPr>
        <w:bidi w:val="0"/>
        <w:rPr>
          <w:rFonts w:hint="default" w:ascii="Times New Roman" w:hAnsi="Times New Roman" w:cs="Times New Roman"/>
        </w:rPr>
      </w:pPr>
      <w:r>
        <w:rPr>
          <w:rFonts w:hint="default" w:ascii="Times New Roman" w:hAnsi="Times New Roman" w:cs="Times New Roman"/>
        </w:rPr>
        <w:t>（6）事业单位经营收入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78D0EF1A">
      <w:pPr>
        <w:bidi w:val="0"/>
        <w:rPr>
          <w:rFonts w:hint="default" w:ascii="Times New Roman" w:hAnsi="Times New Roman" w:cs="Times New Roman"/>
        </w:rPr>
      </w:pPr>
      <w:r>
        <w:rPr>
          <w:rFonts w:hint="default" w:ascii="Times New Roman" w:hAnsi="Times New Roman" w:cs="Times New Roman"/>
        </w:rPr>
        <w:t>（7）上级补助收入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4CDAD54E">
      <w:pPr>
        <w:bidi w:val="0"/>
        <w:rPr>
          <w:rFonts w:hint="default" w:ascii="Times New Roman" w:hAnsi="Times New Roman" w:cs="Times New Roman"/>
        </w:rPr>
      </w:pPr>
      <w:r>
        <w:rPr>
          <w:rFonts w:hint="default" w:ascii="Times New Roman" w:hAnsi="Times New Roman" w:cs="Times New Roman"/>
        </w:rPr>
        <w:t>（8）附属单位上缴收入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6F990F9A">
      <w:pPr>
        <w:bidi w:val="0"/>
        <w:rPr>
          <w:rFonts w:hint="default" w:ascii="Times New Roman" w:hAnsi="Times New Roman" w:cs="Times New Roman"/>
        </w:rPr>
      </w:pPr>
      <w:r>
        <w:rPr>
          <w:rFonts w:hint="default" w:ascii="Times New Roman" w:hAnsi="Times New Roman" w:cs="Times New Roman"/>
        </w:rPr>
        <w:t>（9）其他收入</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467AD581">
      <w:pPr>
        <w:bidi w:val="0"/>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上年结转结余为</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rPr>
        <w:t>%。主要原因是不存在此项内容。</w:t>
      </w:r>
    </w:p>
    <w:p w14:paraId="0856A74A">
      <w:pPr>
        <w:pStyle w:val="4"/>
        <w:bidi w:val="0"/>
        <w:rPr>
          <w:rFonts w:hint="default" w:ascii="Times New Roman" w:hAnsi="Times New Roman" w:eastAsia="楷体" w:cs="Times New Roman"/>
          <w:b/>
          <w:bCs/>
          <w:color w:val="auto"/>
          <w:szCs w:val="32"/>
        </w:rPr>
      </w:pPr>
      <w:r>
        <w:rPr>
          <w:rFonts w:hint="default" w:ascii="Times New Roman" w:hAnsi="Times New Roman" w:cs="Times New Roman"/>
        </w:rPr>
        <w:t>（二）支出预算总计</w:t>
      </w:r>
      <w:r>
        <w:rPr>
          <w:rFonts w:hint="default" w:ascii="Times New Roman" w:hAnsi="Times New Roman" w:cs="Times New Roman"/>
          <w:b w:val="0"/>
          <w:bCs w:val="0"/>
          <w:lang w:val="en-US" w:eastAsia="zh-CN"/>
        </w:rPr>
        <w:t>1550.32</w:t>
      </w:r>
      <w:r>
        <w:rPr>
          <w:rFonts w:hint="default" w:ascii="Times New Roman" w:hAnsi="Times New Roman" w:cs="Times New Roman"/>
        </w:rPr>
        <w:t>万元。包括：</w:t>
      </w:r>
    </w:p>
    <w:p w14:paraId="1B7D667A">
      <w:pPr>
        <w:bidi w:val="0"/>
        <w:rPr>
          <w:rFonts w:hint="default" w:ascii="Times New Roman" w:hAnsi="Times New Roman" w:eastAsia="仿宋_GB2312" w:cs="Times New Roman"/>
          <w:color w:val="auto"/>
          <w:szCs w:val="32"/>
        </w:rPr>
      </w:pPr>
      <w:r>
        <w:rPr>
          <w:rFonts w:hint="default" w:ascii="Times New Roman" w:hAnsi="Times New Roman" w:cs="Times New Roman"/>
        </w:rPr>
        <w:t>1</w:t>
      </w:r>
      <w:r>
        <w:rPr>
          <w:rFonts w:hint="eastAsia" w:cs="Times New Roman"/>
          <w:lang w:val="en-US" w:eastAsia="zh-CN"/>
        </w:rPr>
        <w:t>.</w:t>
      </w:r>
      <w:r>
        <w:rPr>
          <w:rFonts w:hint="default" w:ascii="Times New Roman" w:hAnsi="Times New Roman" w:cs="Times New Roman"/>
        </w:rPr>
        <w:t>本年支出合计</w:t>
      </w:r>
      <w:r>
        <w:rPr>
          <w:rFonts w:hint="default" w:ascii="Times New Roman" w:hAnsi="Times New Roman" w:cs="Times New Roman"/>
          <w:lang w:val="en-US" w:eastAsia="zh-CN"/>
        </w:rPr>
        <w:t>1550.32</w:t>
      </w:r>
      <w:r>
        <w:rPr>
          <w:rFonts w:hint="default" w:ascii="Times New Roman" w:hAnsi="Times New Roman" w:cs="Times New Roman"/>
        </w:rPr>
        <w:t>万元。</w:t>
      </w:r>
    </w:p>
    <w:p w14:paraId="7D5754FB">
      <w:pPr>
        <w:bidi w:val="0"/>
        <w:rPr>
          <w:rFonts w:hint="default" w:ascii="Times New Roman" w:hAnsi="Times New Roman" w:cs="Times New Roman"/>
        </w:rPr>
      </w:pPr>
      <w:r>
        <w:rPr>
          <w:rFonts w:hint="default" w:ascii="Times New Roman" w:hAnsi="Times New Roman" w:cs="Times New Roman"/>
        </w:rPr>
        <w:t>（1）一般公共服务（类）支出</w:t>
      </w:r>
      <w:r>
        <w:rPr>
          <w:rFonts w:hint="default" w:ascii="Times New Roman" w:hAnsi="Times New Roman" w:cs="Times New Roman"/>
          <w:lang w:val="en-US" w:eastAsia="zh-CN"/>
        </w:rPr>
        <w:t>15.78</w:t>
      </w:r>
      <w:r>
        <w:rPr>
          <w:rFonts w:hint="default" w:ascii="Times New Roman" w:hAnsi="Times New Roman" w:cs="Times New Roman"/>
        </w:rPr>
        <w:t>万元，主要用于单位上缴工会经费。与上年相比增加</w:t>
      </w:r>
      <w:r>
        <w:rPr>
          <w:rFonts w:hint="default" w:ascii="Times New Roman" w:hAnsi="Times New Roman" w:cs="Times New Roman"/>
          <w:lang w:val="en-US" w:eastAsia="zh-CN"/>
        </w:rPr>
        <w:t>0.3</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1.94</w:t>
      </w:r>
      <w:r>
        <w:rPr>
          <w:rFonts w:hint="default" w:ascii="Times New Roman" w:hAnsi="Times New Roman" w:cs="Times New Roman"/>
        </w:rPr>
        <w:t>%。主要原因是</w:t>
      </w:r>
      <w:r>
        <w:rPr>
          <w:rFonts w:hint="default" w:ascii="Times New Roman" w:hAnsi="Times New Roman" w:cs="Times New Roman"/>
          <w:lang w:eastAsia="zh-CN"/>
        </w:rPr>
        <w:t>工资标准提高，工资总额增加</w:t>
      </w:r>
      <w:r>
        <w:rPr>
          <w:rFonts w:hint="default" w:ascii="Times New Roman" w:hAnsi="Times New Roman" w:cs="Times New Roman"/>
        </w:rPr>
        <w:t>。</w:t>
      </w:r>
    </w:p>
    <w:p w14:paraId="227A5D32">
      <w:pPr>
        <w:bidi w:val="0"/>
        <w:rPr>
          <w:rFonts w:hint="default" w:ascii="Times New Roman" w:hAnsi="Times New Roman" w:cs="Times New Roman"/>
        </w:rPr>
      </w:pPr>
      <w:r>
        <w:rPr>
          <w:rFonts w:hint="default" w:ascii="Times New Roman" w:hAnsi="Times New Roman" w:cs="Times New Roman"/>
        </w:rPr>
        <w:t>（2）教育支出（类）支出1096.29万元，主要用于中心人员工资及公务经费。与上年相比减少</w:t>
      </w:r>
      <w:r>
        <w:rPr>
          <w:rFonts w:hint="default" w:ascii="Times New Roman" w:hAnsi="Times New Roman" w:cs="Times New Roman"/>
          <w:lang w:val="en-US" w:eastAsia="zh-CN"/>
        </w:rPr>
        <w:t>42.6</w:t>
      </w:r>
      <w:r>
        <w:rPr>
          <w:rFonts w:hint="default" w:ascii="Times New Roman" w:hAnsi="Times New Roman" w:cs="Times New Roman"/>
        </w:rPr>
        <w:t>万元，下降</w:t>
      </w:r>
      <w:r>
        <w:rPr>
          <w:rFonts w:hint="default" w:ascii="Times New Roman" w:hAnsi="Times New Roman" w:cs="Times New Roman"/>
          <w:lang w:val="en-US" w:eastAsia="zh-CN"/>
        </w:rPr>
        <w:t>3.74</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年退休人员增加，费用相应减少。</w:t>
      </w:r>
    </w:p>
    <w:p w14:paraId="7CFDB826">
      <w:pPr>
        <w:bidi w:val="0"/>
        <w:rPr>
          <w:rFonts w:hint="default" w:ascii="Times New Roman" w:hAnsi="Times New Roman" w:cs="Times New Roman"/>
        </w:rPr>
      </w:pPr>
      <w:r>
        <w:rPr>
          <w:rFonts w:hint="default" w:ascii="Times New Roman" w:hAnsi="Times New Roman" w:cs="Times New Roman"/>
        </w:rPr>
        <w:t>（3）社会保障和就业（类）支出262.99万元，主要用于我单位缴纳职工社保单位承担部分。与上年相比减少</w:t>
      </w:r>
      <w:r>
        <w:rPr>
          <w:rFonts w:hint="default" w:ascii="Times New Roman" w:hAnsi="Times New Roman" w:cs="Times New Roman"/>
          <w:lang w:val="en-US" w:eastAsia="zh-CN"/>
        </w:rPr>
        <w:t>9.96</w:t>
      </w:r>
      <w:r>
        <w:rPr>
          <w:rFonts w:hint="default" w:ascii="Times New Roman" w:hAnsi="Times New Roman" w:cs="Times New Roman"/>
        </w:rPr>
        <w:t>万元，下降</w:t>
      </w:r>
      <w:r>
        <w:rPr>
          <w:rFonts w:hint="default" w:ascii="Times New Roman" w:hAnsi="Times New Roman" w:cs="Times New Roman"/>
          <w:lang w:val="en-US" w:eastAsia="zh-CN"/>
        </w:rPr>
        <w:t>3.65</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年退休人员增加，费用相应减少。</w:t>
      </w:r>
    </w:p>
    <w:p w14:paraId="3DF31906">
      <w:pPr>
        <w:bidi w:val="0"/>
        <w:rPr>
          <w:rFonts w:hint="default" w:ascii="Times New Roman" w:hAnsi="Times New Roman" w:cs="Times New Roman"/>
        </w:rPr>
      </w:pPr>
      <w:r>
        <w:rPr>
          <w:rFonts w:hint="default" w:ascii="Times New Roman" w:hAnsi="Times New Roman" w:cs="Times New Roman"/>
        </w:rPr>
        <w:t>（4）卫生健康（类）支出67.69万元，主要用于缴纳我单位职工医疗保险单位部分。与上年相比</w:t>
      </w:r>
      <w:r>
        <w:rPr>
          <w:rFonts w:hint="default" w:ascii="Times New Roman" w:hAnsi="Times New Roman" w:cs="Times New Roman"/>
          <w:lang w:eastAsia="zh-CN"/>
        </w:rPr>
        <w:t>增加</w:t>
      </w:r>
      <w:r>
        <w:rPr>
          <w:rFonts w:hint="default" w:ascii="Times New Roman" w:hAnsi="Times New Roman" w:cs="Times New Roman"/>
          <w:lang w:val="en-US" w:eastAsia="zh-CN"/>
        </w:rPr>
        <w:t>0.12</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0.18</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年职工医疗保险</w:t>
      </w:r>
      <w:r>
        <w:rPr>
          <w:rFonts w:hint="default" w:ascii="Times New Roman" w:hAnsi="Times New Roman" w:cs="Times New Roman"/>
          <w:lang w:eastAsia="zh-CN"/>
        </w:rPr>
        <w:t>基数提高</w:t>
      </w:r>
      <w:r>
        <w:rPr>
          <w:rFonts w:hint="default" w:ascii="Times New Roman" w:hAnsi="Times New Roman" w:cs="Times New Roman"/>
        </w:rPr>
        <w:t>。</w:t>
      </w:r>
    </w:p>
    <w:p w14:paraId="66ADAB02">
      <w:pPr>
        <w:bidi w:val="0"/>
        <w:rPr>
          <w:rFonts w:hint="default" w:ascii="Times New Roman" w:hAnsi="Times New Roman" w:cs="Times New Roman"/>
        </w:rPr>
      </w:pPr>
      <w:r>
        <w:rPr>
          <w:rFonts w:hint="default" w:ascii="Times New Roman" w:hAnsi="Times New Roman" w:cs="Times New Roman"/>
        </w:rPr>
        <w:t>（5）住房保障（类）支出107.56万元，主要用于缴纳我单位职工住房公积金单位承担部分。与上年相比增加0.1</w:t>
      </w:r>
      <w:r>
        <w:rPr>
          <w:rFonts w:hint="default" w:ascii="Times New Roman" w:hAnsi="Times New Roman" w:cs="Times New Roman"/>
          <w:lang w:val="en-US" w:eastAsia="zh-CN"/>
        </w:rPr>
        <w:t>8</w:t>
      </w:r>
      <w:r>
        <w:rPr>
          <w:rFonts w:hint="default" w:ascii="Times New Roman" w:hAnsi="Times New Roman" w:cs="Times New Roman"/>
        </w:rPr>
        <w:t>万元，增长</w:t>
      </w:r>
      <w:r>
        <w:rPr>
          <w:rFonts w:hint="default" w:ascii="Times New Roman" w:hAnsi="Times New Roman" w:cs="Times New Roman"/>
          <w:lang w:val="en-US" w:eastAsia="zh-CN"/>
        </w:rPr>
        <w:t>0.17</w:t>
      </w:r>
      <w:r>
        <w:rPr>
          <w:rFonts w:hint="default" w:ascii="Times New Roman" w:hAnsi="Times New Roman" w:cs="Times New Roman"/>
        </w:rPr>
        <w:t>%。主要原因是2025年职工</w:t>
      </w:r>
      <w:r>
        <w:rPr>
          <w:rFonts w:hint="default" w:ascii="Times New Roman" w:hAnsi="Times New Roman" w:cs="Times New Roman"/>
          <w:lang w:eastAsia="zh-CN"/>
        </w:rPr>
        <w:t>工资标准提高，住房公积金基数相应提高</w:t>
      </w:r>
      <w:r>
        <w:rPr>
          <w:rFonts w:hint="default" w:ascii="Times New Roman" w:hAnsi="Times New Roman" w:cs="Times New Roman"/>
        </w:rPr>
        <w:t>。</w:t>
      </w:r>
    </w:p>
    <w:p w14:paraId="63572EEB">
      <w:pPr>
        <w:bidi w:val="0"/>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年终结转结余为0万元，主要原因是不存在此项内容。</w:t>
      </w:r>
    </w:p>
    <w:p w14:paraId="351799D7">
      <w:pPr>
        <w:pStyle w:val="2"/>
        <w:bidi w:val="0"/>
        <w:rPr>
          <w:rFonts w:hint="default" w:ascii="Times New Roman" w:hAnsi="Times New Roman" w:cs="Times New Roman"/>
        </w:rPr>
      </w:pPr>
      <w:r>
        <w:rPr>
          <w:rFonts w:hint="default" w:ascii="Times New Roman" w:hAnsi="Times New Roman" w:cs="Times New Roman"/>
        </w:rPr>
        <w:t>二、收入预算情况说明</w:t>
      </w:r>
    </w:p>
    <w:p w14:paraId="303253AA">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年收入预算合计1550.32万元，包括本年收入1550.32万元，上年结转结余</w:t>
      </w:r>
      <w:r>
        <w:rPr>
          <w:rFonts w:hint="default" w:ascii="Times New Roman" w:hAnsi="Times New Roman" w:cs="Times New Roman"/>
          <w:lang w:val="en-US" w:eastAsia="zh-CN"/>
        </w:rPr>
        <w:t>0</w:t>
      </w:r>
      <w:r>
        <w:rPr>
          <w:rFonts w:hint="default" w:ascii="Times New Roman" w:hAnsi="Times New Roman" w:cs="Times New Roman"/>
        </w:rPr>
        <w:t>万元。</w:t>
      </w:r>
    </w:p>
    <w:p w14:paraId="0CEBED6F">
      <w:pPr>
        <w:bidi w:val="0"/>
        <w:rPr>
          <w:rFonts w:hint="default" w:ascii="Times New Roman" w:hAnsi="Times New Roman" w:cs="Times New Roman"/>
        </w:rPr>
      </w:pPr>
      <w:r>
        <w:rPr>
          <w:rFonts w:hint="default" w:ascii="Times New Roman" w:hAnsi="Times New Roman" w:cs="Times New Roman"/>
        </w:rPr>
        <w:t>其中：</w:t>
      </w:r>
    </w:p>
    <w:p w14:paraId="3E4646CF">
      <w:pPr>
        <w:bidi w:val="0"/>
        <w:rPr>
          <w:rFonts w:hint="default" w:ascii="Times New Roman" w:hAnsi="Times New Roman" w:cs="Times New Roman"/>
        </w:rPr>
      </w:pPr>
      <w:r>
        <w:rPr>
          <w:rFonts w:hint="default" w:ascii="Times New Roman" w:hAnsi="Times New Roman" w:cs="Times New Roman"/>
        </w:rPr>
        <w:t>本年一般公共预算收入1550.32万元，占</w:t>
      </w:r>
      <w:r>
        <w:rPr>
          <w:rFonts w:hint="default" w:ascii="Times New Roman" w:hAnsi="Times New Roman" w:cs="Times New Roman"/>
          <w:lang w:val="en-US" w:eastAsia="zh-CN"/>
        </w:rPr>
        <w:t>100</w:t>
      </w:r>
      <w:r>
        <w:rPr>
          <w:rFonts w:hint="default" w:ascii="Times New Roman" w:hAnsi="Times New Roman" w:cs="Times New Roman"/>
        </w:rPr>
        <w:t>%；</w:t>
      </w:r>
    </w:p>
    <w:p w14:paraId="0315B42B">
      <w:pPr>
        <w:bidi w:val="0"/>
        <w:rPr>
          <w:rFonts w:hint="default" w:ascii="Times New Roman" w:hAnsi="Times New Roman" w:cs="Times New Roman"/>
        </w:rPr>
      </w:pPr>
      <w:r>
        <w:rPr>
          <w:rFonts w:hint="default" w:ascii="Times New Roman" w:hAnsi="Times New Roman" w:cs="Times New Roman"/>
        </w:rPr>
        <w:t>本年政府性基金预算收入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7D827269">
      <w:pPr>
        <w:bidi w:val="0"/>
        <w:rPr>
          <w:rFonts w:hint="default" w:ascii="Times New Roman" w:hAnsi="Times New Roman" w:cs="Times New Roman"/>
        </w:rPr>
      </w:pPr>
      <w:r>
        <w:rPr>
          <w:rFonts w:hint="default" w:ascii="Times New Roman" w:hAnsi="Times New Roman" w:cs="Times New Roman"/>
        </w:rPr>
        <w:t>本年国有资本经营预算收入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79A73BBD">
      <w:pPr>
        <w:bidi w:val="0"/>
        <w:rPr>
          <w:rFonts w:hint="default" w:ascii="Times New Roman" w:hAnsi="Times New Roman" w:cs="Times New Roman"/>
        </w:rPr>
      </w:pPr>
      <w:r>
        <w:rPr>
          <w:rFonts w:hint="default" w:ascii="Times New Roman" w:hAnsi="Times New Roman" w:cs="Times New Roman"/>
        </w:rPr>
        <w:t>本年财政专户管理资金</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213C1417">
      <w:pPr>
        <w:bidi w:val="0"/>
        <w:rPr>
          <w:rFonts w:hint="default" w:ascii="Times New Roman" w:hAnsi="Times New Roman" w:cs="Times New Roman"/>
        </w:rPr>
      </w:pPr>
      <w:r>
        <w:rPr>
          <w:rFonts w:hint="default" w:ascii="Times New Roman" w:hAnsi="Times New Roman" w:cs="Times New Roman"/>
        </w:rPr>
        <w:t>本年事业收入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26DDAA23">
      <w:pPr>
        <w:bidi w:val="0"/>
        <w:rPr>
          <w:rFonts w:hint="default" w:ascii="Times New Roman" w:hAnsi="Times New Roman" w:cs="Times New Roman"/>
        </w:rPr>
      </w:pPr>
      <w:r>
        <w:rPr>
          <w:rFonts w:hint="default" w:ascii="Times New Roman" w:hAnsi="Times New Roman" w:cs="Times New Roman"/>
        </w:rPr>
        <w:t>本年事业单位经营收入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12D75EF5">
      <w:pPr>
        <w:bidi w:val="0"/>
        <w:rPr>
          <w:rFonts w:hint="default" w:ascii="Times New Roman" w:hAnsi="Times New Roman" w:cs="Times New Roman"/>
        </w:rPr>
      </w:pPr>
      <w:r>
        <w:rPr>
          <w:rFonts w:hint="default" w:ascii="Times New Roman" w:hAnsi="Times New Roman" w:cs="Times New Roman"/>
        </w:rPr>
        <w:t>本年上级补助收入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3C0A7126">
      <w:pPr>
        <w:bidi w:val="0"/>
        <w:rPr>
          <w:rFonts w:hint="default" w:ascii="Times New Roman" w:hAnsi="Times New Roman" w:cs="Times New Roman"/>
        </w:rPr>
      </w:pPr>
      <w:r>
        <w:rPr>
          <w:rFonts w:hint="default" w:ascii="Times New Roman" w:hAnsi="Times New Roman" w:cs="Times New Roman"/>
        </w:rPr>
        <w:t>本年附属单位上缴收入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726086D0">
      <w:pPr>
        <w:bidi w:val="0"/>
        <w:rPr>
          <w:rFonts w:hint="default" w:ascii="Times New Roman" w:hAnsi="Times New Roman" w:cs="Times New Roman"/>
        </w:rPr>
      </w:pPr>
      <w:r>
        <w:rPr>
          <w:rFonts w:hint="default" w:ascii="Times New Roman" w:hAnsi="Times New Roman" w:cs="Times New Roman"/>
        </w:rPr>
        <w:t>本年其他收入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002ADB39">
      <w:pPr>
        <w:bidi w:val="0"/>
        <w:rPr>
          <w:rFonts w:hint="default" w:ascii="Times New Roman" w:hAnsi="Times New Roman" w:cs="Times New Roman"/>
        </w:rPr>
      </w:pPr>
      <w:r>
        <w:rPr>
          <w:rFonts w:hint="default" w:ascii="Times New Roman" w:hAnsi="Times New Roman" w:cs="Times New Roman"/>
        </w:rPr>
        <w:t>上年结转结余的一般公共预算收入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3F25B575">
      <w:pPr>
        <w:bidi w:val="0"/>
        <w:rPr>
          <w:rFonts w:hint="default" w:ascii="Times New Roman" w:hAnsi="Times New Roman" w:cs="Times New Roman"/>
        </w:rPr>
      </w:pPr>
      <w:r>
        <w:rPr>
          <w:rFonts w:hint="default" w:ascii="Times New Roman" w:hAnsi="Times New Roman" w:cs="Times New Roman"/>
        </w:rPr>
        <w:t>上年结转结余的政府性基金预算收入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34FDBFE6">
      <w:pPr>
        <w:bidi w:val="0"/>
        <w:rPr>
          <w:rFonts w:hint="default" w:ascii="Times New Roman" w:hAnsi="Times New Roman" w:cs="Times New Roman"/>
        </w:rPr>
      </w:pPr>
      <w:r>
        <w:rPr>
          <w:rFonts w:hint="default" w:ascii="Times New Roman" w:hAnsi="Times New Roman" w:cs="Times New Roman"/>
        </w:rPr>
        <w:t>上年结转结余的国有资本经营预算收入</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082A0FD2">
      <w:pPr>
        <w:bidi w:val="0"/>
        <w:rPr>
          <w:rFonts w:hint="default" w:ascii="Times New Roman" w:hAnsi="Times New Roman" w:cs="Times New Roman"/>
        </w:rPr>
      </w:pPr>
      <w:r>
        <w:rPr>
          <w:rFonts w:hint="default" w:ascii="Times New Roman" w:hAnsi="Times New Roman" w:cs="Times New Roman"/>
        </w:rPr>
        <w:t>上年结转结余的财政专户管理资金</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179B5C2B">
      <w:pPr>
        <w:bidi w:val="0"/>
        <w:rPr>
          <w:rFonts w:hint="default" w:ascii="Times New Roman" w:hAnsi="Times New Roman" w:cs="Times New Roman"/>
          <w:lang w:val="en-US" w:eastAsia="zh-CN"/>
        </w:rPr>
      </w:pPr>
      <w:r>
        <w:rPr>
          <w:rFonts w:hint="default" w:ascii="Times New Roman" w:hAnsi="Times New Roman" w:cs="Times New Roman"/>
        </w:rPr>
        <w:t>上年结转结余的单位资金</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2E9A446E">
      <w:pPr>
        <w:bidi w:val="0"/>
        <w:rPr>
          <w:rFonts w:hint="default" w:ascii="Times New Roman" w:hAnsi="Times New Roman" w:cs="Times New Roman"/>
          <w:lang w:val="en-US" w:eastAsia="zh-CN"/>
        </w:rPr>
      </w:pPr>
    </w:p>
    <w:p w14:paraId="67578D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lang w:val="en-US" w:eastAsia="zh-CN"/>
        </w:rPr>
      </w:pPr>
      <w:r>
        <w:rPr>
          <w:rFonts w:hint="default" w:ascii="Times New Roman" w:hAnsi="Times New Roman" w:cs="Times New Roman"/>
          <w:u w:val="none"/>
        </w:rPr>
        <w:drawing>
          <wp:inline distT="0" distB="0" distL="114300" distR="114300">
            <wp:extent cx="4431030" cy="2473325"/>
            <wp:effectExtent l="4445" t="4445" r="22225" b="17780"/>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0F4372E">
      <w:pPr>
        <w:bidi w:val="0"/>
        <w:jc w:val="center"/>
        <w:rPr>
          <w:rFonts w:hint="default" w:ascii="Times New Roman" w:hAnsi="Times New Roman" w:cs="Times New Roman"/>
          <w:lang w:val="en-US" w:eastAsia="zh-CN"/>
        </w:rPr>
      </w:pPr>
      <w:r>
        <w:rPr>
          <w:rFonts w:hint="default" w:ascii="Times New Roman" w:hAnsi="Times New Roman" w:cs="Times New Roman"/>
        </w:rPr>
        <w:t>图1.收入预算图</w:t>
      </w:r>
    </w:p>
    <w:p w14:paraId="70B50962">
      <w:pPr>
        <w:pStyle w:val="2"/>
        <w:bidi w:val="0"/>
        <w:rPr>
          <w:rFonts w:hint="default" w:ascii="Times New Roman" w:hAnsi="Times New Roman" w:cs="Times New Roman"/>
        </w:rPr>
      </w:pPr>
      <w:r>
        <w:rPr>
          <w:rFonts w:hint="default" w:ascii="Times New Roman" w:hAnsi="Times New Roman" w:cs="Times New Roman"/>
        </w:rPr>
        <w:t>三、支出预算情况说明</w:t>
      </w:r>
    </w:p>
    <w:p w14:paraId="6A1B5574">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年支出预算合计</w:t>
      </w:r>
      <w:r>
        <w:rPr>
          <w:rFonts w:hint="default" w:ascii="Times New Roman" w:hAnsi="Times New Roman" w:cs="Times New Roman"/>
          <w:lang w:val="en-US" w:eastAsia="zh-CN"/>
        </w:rPr>
        <w:t>1550.32</w:t>
      </w:r>
      <w:r>
        <w:rPr>
          <w:rFonts w:hint="default" w:ascii="Times New Roman" w:hAnsi="Times New Roman" w:cs="Times New Roman"/>
        </w:rPr>
        <w:t>万元，其中：</w:t>
      </w:r>
    </w:p>
    <w:p w14:paraId="1288B00A">
      <w:pPr>
        <w:bidi w:val="0"/>
        <w:rPr>
          <w:rFonts w:hint="default" w:ascii="Times New Roman" w:hAnsi="Times New Roman" w:cs="Times New Roman"/>
        </w:rPr>
      </w:pPr>
      <w:r>
        <w:rPr>
          <w:rFonts w:hint="default" w:ascii="Times New Roman" w:hAnsi="Times New Roman" w:cs="Times New Roman"/>
        </w:rPr>
        <w:t>基本支出</w:t>
      </w:r>
      <w:r>
        <w:rPr>
          <w:rFonts w:hint="default" w:ascii="Times New Roman" w:hAnsi="Times New Roman" w:cs="Times New Roman"/>
          <w:lang w:val="en-US" w:eastAsia="zh-CN"/>
        </w:rPr>
        <w:t>1415.32</w:t>
      </w:r>
      <w:r>
        <w:rPr>
          <w:rFonts w:hint="default" w:ascii="Times New Roman" w:hAnsi="Times New Roman" w:cs="Times New Roman"/>
        </w:rPr>
        <w:t>万元，占</w:t>
      </w:r>
      <w:r>
        <w:rPr>
          <w:rFonts w:hint="default" w:ascii="Times New Roman" w:hAnsi="Times New Roman" w:cs="Times New Roman"/>
          <w:lang w:val="en-US" w:eastAsia="zh-CN"/>
        </w:rPr>
        <w:t>91.29</w:t>
      </w:r>
      <w:r>
        <w:rPr>
          <w:rFonts w:hint="default" w:ascii="Times New Roman" w:hAnsi="Times New Roman" w:cs="Times New Roman"/>
        </w:rPr>
        <w:t>%；</w:t>
      </w:r>
    </w:p>
    <w:p w14:paraId="69D65D6B">
      <w:pPr>
        <w:bidi w:val="0"/>
        <w:rPr>
          <w:rFonts w:hint="default" w:ascii="Times New Roman" w:hAnsi="Times New Roman" w:cs="Times New Roman"/>
        </w:rPr>
      </w:pPr>
      <w:r>
        <w:rPr>
          <w:rFonts w:hint="default" w:ascii="Times New Roman" w:hAnsi="Times New Roman" w:cs="Times New Roman"/>
        </w:rPr>
        <w:t>项目支出</w:t>
      </w:r>
      <w:r>
        <w:rPr>
          <w:rFonts w:hint="default" w:ascii="Times New Roman" w:hAnsi="Times New Roman" w:cs="Times New Roman"/>
          <w:lang w:val="en-US" w:eastAsia="zh-CN"/>
        </w:rPr>
        <w:t>135.00</w:t>
      </w:r>
      <w:r>
        <w:rPr>
          <w:rFonts w:hint="default" w:ascii="Times New Roman" w:hAnsi="Times New Roman" w:cs="Times New Roman"/>
        </w:rPr>
        <w:t>万元，占</w:t>
      </w:r>
      <w:r>
        <w:rPr>
          <w:rFonts w:hint="default" w:ascii="Times New Roman" w:hAnsi="Times New Roman" w:cs="Times New Roman"/>
          <w:lang w:val="en-US" w:eastAsia="zh-CN"/>
        </w:rPr>
        <w:t>8.71</w:t>
      </w:r>
      <w:r>
        <w:rPr>
          <w:rFonts w:hint="default" w:ascii="Times New Roman" w:hAnsi="Times New Roman" w:cs="Times New Roman"/>
        </w:rPr>
        <w:t>%；</w:t>
      </w:r>
    </w:p>
    <w:p w14:paraId="210CE114">
      <w:pPr>
        <w:bidi w:val="0"/>
        <w:rPr>
          <w:rFonts w:hint="default" w:ascii="Times New Roman" w:hAnsi="Times New Roman" w:cs="Times New Roman"/>
        </w:rPr>
      </w:pPr>
      <w:r>
        <w:rPr>
          <w:rFonts w:hint="default" w:ascii="Times New Roman" w:hAnsi="Times New Roman" w:cs="Times New Roman"/>
        </w:rPr>
        <w:t>事业单位经营支出</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0D43CAF4">
      <w:pPr>
        <w:bidi w:val="0"/>
        <w:rPr>
          <w:rFonts w:hint="default" w:ascii="Times New Roman" w:hAnsi="Times New Roman" w:cs="Times New Roman"/>
        </w:rPr>
      </w:pPr>
      <w:r>
        <w:rPr>
          <w:rFonts w:hint="default" w:ascii="Times New Roman" w:hAnsi="Times New Roman" w:cs="Times New Roman"/>
        </w:rPr>
        <w:t>上缴上级支出</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2356DC4A">
      <w:pPr>
        <w:bidi w:val="0"/>
        <w:rPr>
          <w:rFonts w:hint="default" w:ascii="Times New Roman" w:hAnsi="Times New Roman" w:cs="Times New Roman"/>
          <w:lang w:val="en-US" w:eastAsia="zh-CN"/>
        </w:rPr>
      </w:pPr>
      <w:r>
        <w:rPr>
          <w:rFonts w:hint="default" w:ascii="Times New Roman" w:hAnsi="Times New Roman" w:cs="Times New Roman"/>
        </w:rPr>
        <w:t>对附属单位补助支出</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rPr>
        <w:t>%。</w:t>
      </w:r>
    </w:p>
    <w:p w14:paraId="7C621391">
      <w:pPr>
        <w:bidi w:val="0"/>
        <w:rPr>
          <w:rFonts w:hint="default" w:ascii="Times New Roman" w:hAnsi="Times New Roman" w:cs="Times New Roman"/>
          <w:lang w:val="en-US" w:eastAsia="zh-CN"/>
        </w:rPr>
      </w:pPr>
    </w:p>
    <w:p w14:paraId="3AF1BED2">
      <w:pPr>
        <w:pStyle w:val="10"/>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_GB2312" w:cs="Times New Roman"/>
          <w:i w:val="0"/>
          <w:iCs w:val="0"/>
          <w:color w:val="auto"/>
          <w:kern w:val="0"/>
          <w:sz w:val="32"/>
          <w:szCs w:val="32"/>
          <w:highlight w:val="yellow"/>
          <w:lang w:val="en-US" w:eastAsia="zh-CN" w:bidi="ar"/>
        </w:rPr>
      </w:pPr>
      <w:r>
        <w:rPr>
          <w:rFonts w:hint="default" w:ascii="Times New Roman" w:hAnsi="Times New Roman" w:cs="Times New Roman"/>
        </w:rPr>
        <w:drawing>
          <wp:inline distT="0" distB="0" distL="114300" distR="114300">
            <wp:extent cx="4038600" cy="2641600"/>
            <wp:effectExtent l="4445" t="4445" r="14605" b="2095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5F2FE92">
      <w:pPr>
        <w:pStyle w:val="10"/>
        <w:ind w:left="0" w:leftChars="0" w:firstLine="220"/>
        <w:jc w:val="center"/>
        <w:rPr>
          <w:rFonts w:hint="default" w:ascii="Times New Roman" w:hAnsi="Times New Roman" w:eastAsia="仿宋_GB2312" w:cs="Times New Roman"/>
          <w:i w:val="0"/>
          <w:iCs w:val="0"/>
          <w:color w:val="auto"/>
          <w:kern w:val="0"/>
          <w:sz w:val="32"/>
          <w:szCs w:val="32"/>
          <w:highlight w:val="yellow"/>
          <w:lang w:val="en-US" w:eastAsia="zh-CN" w:bidi="ar"/>
        </w:rPr>
      </w:pPr>
      <w:r>
        <w:rPr>
          <w:rFonts w:hint="default" w:ascii="Times New Roman" w:hAnsi="Times New Roman" w:eastAsia="仿宋_GB2312" w:cs="Times New Roman"/>
          <w:sz w:val="32"/>
          <w:szCs w:val="32"/>
          <w:highlight w:val="none"/>
        </w:rPr>
        <w:t>图2.支出预算图</w:t>
      </w:r>
    </w:p>
    <w:p w14:paraId="4DF38AE2">
      <w:pPr>
        <w:pStyle w:val="2"/>
        <w:bidi w:val="0"/>
        <w:rPr>
          <w:rFonts w:hint="default" w:ascii="Times New Roman" w:hAnsi="Times New Roman" w:cs="Times New Roman"/>
        </w:rPr>
      </w:pPr>
      <w:r>
        <w:rPr>
          <w:rFonts w:hint="default" w:ascii="Times New Roman" w:hAnsi="Times New Roman" w:cs="Times New Roman"/>
          <w:lang w:eastAsia="zh-CN"/>
        </w:rPr>
        <w:t>四</w:t>
      </w:r>
      <w:r>
        <w:rPr>
          <w:rFonts w:hint="default" w:ascii="Times New Roman" w:hAnsi="Times New Roman" w:cs="Times New Roman"/>
        </w:rPr>
        <w:t>、财政拨款收支预算总体情况说明</w:t>
      </w:r>
    </w:p>
    <w:p w14:paraId="026E02D9">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年财政拨款收、支总预算</w:t>
      </w:r>
      <w:r>
        <w:rPr>
          <w:rFonts w:hint="default" w:ascii="Times New Roman" w:hAnsi="Times New Roman" w:cs="Times New Roman"/>
          <w:lang w:val="en-US" w:eastAsia="zh-CN"/>
        </w:rPr>
        <w:t>1550.32</w:t>
      </w:r>
      <w:r>
        <w:rPr>
          <w:rFonts w:hint="default" w:ascii="Times New Roman" w:hAnsi="Times New Roman" w:cs="Times New Roman"/>
        </w:rPr>
        <w:t>万元。</w:t>
      </w:r>
      <w:r>
        <w:rPr>
          <w:rFonts w:hint="default" w:ascii="Times New Roman" w:hAnsi="Times New Roman" w:cs="Times New Roman"/>
          <w:lang w:val="en-US" w:eastAsia="zh-CN"/>
        </w:rPr>
        <w:t>其中本年收入安排一般公共预算财政拨款1550.32万元、占比100%；政府性基金预算财政拨款0万元，占比0%；国有资本经营预算0万元，占比0%；上年结转0元，占比0%。</w:t>
      </w:r>
      <w:r>
        <w:rPr>
          <w:rFonts w:hint="default" w:ascii="Times New Roman" w:hAnsi="Times New Roman" w:cs="Times New Roman"/>
        </w:rPr>
        <w:t>与上年相比，财政拨款收、支总计各</w:t>
      </w:r>
      <w:r>
        <w:rPr>
          <w:rFonts w:hint="default" w:ascii="Times New Roman" w:hAnsi="Times New Roman" w:cs="Times New Roman"/>
          <w:lang w:eastAsia="zh-CN"/>
        </w:rPr>
        <w:t>减少</w:t>
      </w:r>
      <w:r>
        <w:rPr>
          <w:rFonts w:hint="default" w:ascii="Times New Roman" w:hAnsi="Times New Roman" w:cs="Times New Roman"/>
          <w:lang w:val="en-US" w:eastAsia="zh-CN"/>
        </w:rPr>
        <w:t>51.95</w:t>
      </w:r>
      <w:r>
        <w:rPr>
          <w:rFonts w:hint="default" w:ascii="Times New Roman" w:hAnsi="Times New Roman" w:cs="Times New Roman"/>
        </w:rPr>
        <w:t>万元，</w:t>
      </w:r>
      <w:r>
        <w:rPr>
          <w:rFonts w:hint="default" w:ascii="Times New Roman" w:hAnsi="Times New Roman" w:cs="Times New Roman"/>
          <w:lang w:eastAsia="zh-CN"/>
        </w:rPr>
        <w:t>下降3.24%</w:t>
      </w:r>
      <w:r>
        <w:rPr>
          <w:rFonts w:hint="default" w:ascii="Times New Roman" w:hAnsi="Times New Roman" w:cs="Times New Roman"/>
        </w:rPr>
        <w:t>。主要原因是202</w:t>
      </w:r>
      <w:r>
        <w:rPr>
          <w:rFonts w:hint="default" w:ascii="Times New Roman" w:hAnsi="Times New Roman" w:cs="Times New Roman"/>
          <w:lang w:val="en-US" w:eastAsia="zh-CN"/>
        </w:rPr>
        <w:t>5</w:t>
      </w:r>
      <w:r>
        <w:rPr>
          <w:rFonts w:hint="default" w:ascii="Times New Roman" w:hAnsi="Times New Roman" w:cs="Times New Roman"/>
        </w:rPr>
        <w:t>年新增退休人员，费用相应减少。</w:t>
      </w:r>
    </w:p>
    <w:p w14:paraId="4F620D89">
      <w:pPr>
        <w:pStyle w:val="2"/>
        <w:bidi w:val="0"/>
        <w:rPr>
          <w:rFonts w:hint="default" w:ascii="Times New Roman" w:hAnsi="Times New Roman" w:cs="Times New Roman"/>
        </w:rPr>
      </w:pPr>
      <w:r>
        <w:rPr>
          <w:rFonts w:hint="default" w:ascii="Times New Roman" w:hAnsi="Times New Roman" w:cs="Times New Roman"/>
          <w:lang w:eastAsia="zh-CN"/>
        </w:rPr>
        <w:t>五</w:t>
      </w:r>
      <w:r>
        <w:rPr>
          <w:rFonts w:hint="default" w:ascii="Times New Roman" w:hAnsi="Times New Roman" w:cs="Times New Roman"/>
        </w:rPr>
        <w:t>、一般公共预算支出预算情况说明</w:t>
      </w:r>
    </w:p>
    <w:p w14:paraId="2858B4D2">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年一般公共预算财政拨款支出预算</w:t>
      </w:r>
      <w:r>
        <w:rPr>
          <w:rFonts w:hint="default" w:ascii="Times New Roman" w:hAnsi="Times New Roman" w:cs="Times New Roman"/>
          <w:lang w:val="en-US" w:eastAsia="zh-CN"/>
        </w:rPr>
        <w:t>1550.32</w:t>
      </w:r>
      <w:r>
        <w:rPr>
          <w:rFonts w:hint="default" w:ascii="Times New Roman" w:hAnsi="Times New Roman" w:cs="Times New Roman"/>
        </w:rPr>
        <w:t>万元，与上年相比减少51.95万元，</w:t>
      </w:r>
      <w:r>
        <w:rPr>
          <w:rFonts w:hint="default" w:ascii="Times New Roman" w:hAnsi="Times New Roman" w:cs="Times New Roman"/>
          <w:lang w:eastAsia="zh-CN"/>
        </w:rPr>
        <w:t>下降3.24</w:t>
      </w:r>
      <w:r>
        <w:rPr>
          <w:rFonts w:hint="default" w:ascii="Times New Roman" w:hAnsi="Times New Roman" w:cs="Times New Roman"/>
        </w:rPr>
        <w:t>%。主要原因是2025年新增退休人员，费用相应减少。具体情况如下：</w:t>
      </w:r>
    </w:p>
    <w:p w14:paraId="46BFED73">
      <w:pPr>
        <w:pStyle w:val="3"/>
        <w:bidi w:val="0"/>
        <w:rPr>
          <w:rFonts w:hint="default" w:ascii="Times New Roman" w:hAnsi="Times New Roman" w:cs="Times New Roman"/>
          <w:b/>
          <w:bCs w:val="0"/>
          <w:lang w:eastAsia="zh-CN"/>
        </w:rPr>
      </w:pPr>
      <w:r>
        <w:rPr>
          <w:rFonts w:hint="default" w:ascii="Times New Roman" w:hAnsi="Times New Roman" w:cs="Times New Roman"/>
          <w:b/>
          <w:bCs w:val="0"/>
          <w:lang w:eastAsia="zh-CN"/>
        </w:rPr>
        <w:t>（一）一般公共服务（类）</w:t>
      </w:r>
    </w:p>
    <w:p w14:paraId="1656276D">
      <w:pPr>
        <w:bidi w:val="0"/>
        <w:rPr>
          <w:rFonts w:hint="default" w:ascii="Times New Roman" w:hAnsi="Times New Roman" w:cs="Times New Roman"/>
          <w:lang w:val="en-US" w:eastAsia="zh-CN"/>
        </w:rPr>
      </w:pPr>
      <w:r>
        <w:rPr>
          <w:rFonts w:hint="default" w:ascii="Times New Roman" w:hAnsi="Times New Roman" w:cs="Times New Roman"/>
        </w:rPr>
        <w:t>一般公共服务类年初预算数为15.78万元，与上年相比增加0.3万元。其中：</w:t>
      </w:r>
    </w:p>
    <w:p w14:paraId="1B88A9CF">
      <w:pPr>
        <w:bidi w:val="0"/>
        <w:rPr>
          <w:rFonts w:hint="default" w:ascii="Times New Roman" w:hAnsi="Times New Roman" w:cs="Times New Roman"/>
          <w:lang w:val="en-US" w:eastAsia="zh-CN"/>
        </w:rPr>
      </w:pPr>
      <w:r>
        <w:rPr>
          <w:rFonts w:hint="default" w:ascii="Times New Roman" w:hAnsi="Times New Roman" w:cs="Times New Roman"/>
          <w:lang w:val="en-US" w:eastAsia="zh-CN"/>
        </w:rPr>
        <w:t>群众团体事务（款）其他群众团体事务支出（项）。年初预算15.78万元，与上年相比增加0.3万元，增长1.94%。主要原因是工资标准提高，工资总额增加。变动原因是是2025年新增退休人员，费用相应减少。</w:t>
      </w:r>
    </w:p>
    <w:p w14:paraId="2A1188E0">
      <w:pPr>
        <w:pStyle w:val="3"/>
        <w:bidi w:val="0"/>
        <w:rPr>
          <w:rFonts w:hint="default" w:ascii="Times New Roman" w:hAnsi="Times New Roman" w:cs="Times New Roman"/>
          <w:b/>
          <w:bCs w:val="0"/>
          <w:lang w:eastAsia="zh-CN"/>
        </w:rPr>
      </w:pPr>
      <w:r>
        <w:rPr>
          <w:rFonts w:hint="default" w:ascii="Times New Roman" w:hAnsi="Times New Roman" w:cs="Times New Roman"/>
          <w:b/>
          <w:bCs w:val="0"/>
          <w:lang w:eastAsia="zh-CN"/>
        </w:rPr>
        <w:t>（二）教育支出（类）</w:t>
      </w:r>
    </w:p>
    <w:p w14:paraId="49170301">
      <w:pPr>
        <w:bidi w:val="0"/>
        <w:rPr>
          <w:rFonts w:hint="default" w:ascii="Times New Roman" w:hAnsi="Times New Roman" w:cs="Times New Roman"/>
          <w:lang w:eastAsia="zh-CN"/>
        </w:rPr>
      </w:pPr>
      <w:r>
        <w:rPr>
          <w:rFonts w:hint="default" w:ascii="Times New Roman" w:hAnsi="Times New Roman" w:cs="Times New Roman"/>
        </w:rPr>
        <w:t>教育支出类年初预算数为</w:t>
      </w:r>
      <w:r>
        <w:rPr>
          <w:rFonts w:hint="default" w:ascii="Times New Roman" w:hAnsi="Times New Roman" w:cs="Times New Roman"/>
          <w:lang w:val="en-US" w:eastAsia="zh-CN"/>
        </w:rPr>
        <w:t>1096.29</w:t>
      </w:r>
      <w:r>
        <w:rPr>
          <w:rFonts w:hint="default" w:ascii="Times New Roman" w:hAnsi="Times New Roman" w:cs="Times New Roman"/>
        </w:rPr>
        <w:t>万元，与上年相比减少</w:t>
      </w:r>
      <w:r>
        <w:rPr>
          <w:rFonts w:hint="default" w:ascii="Times New Roman" w:hAnsi="Times New Roman" w:cs="Times New Roman"/>
          <w:lang w:val="en-US" w:eastAsia="zh-CN"/>
        </w:rPr>
        <w:t>42.6</w:t>
      </w:r>
      <w:r>
        <w:rPr>
          <w:rFonts w:hint="default" w:ascii="Times New Roman" w:hAnsi="Times New Roman" w:cs="Times New Roman"/>
        </w:rPr>
        <w:t>万元。其中：</w:t>
      </w:r>
    </w:p>
    <w:p w14:paraId="126E3692">
      <w:pPr>
        <w:bidi w:val="0"/>
        <w:rPr>
          <w:rFonts w:hint="default" w:ascii="Times New Roman" w:hAnsi="Times New Roman" w:cs="Times New Roman"/>
          <w:lang w:eastAsia="zh-CN"/>
        </w:rPr>
      </w:pPr>
      <w:r>
        <w:rPr>
          <w:rFonts w:hint="default" w:ascii="Times New Roman" w:hAnsi="Times New Roman" w:cs="Times New Roman"/>
          <w:lang w:val="en-US" w:eastAsia="zh-CN"/>
        </w:rPr>
        <w:t>1.</w:t>
      </w:r>
      <w:r>
        <w:rPr>
          <w:rFonts w:hint="default" w:ascii="Times New Roman" w:hAnsi="Times New Roman" w:cs="Times New Roman"/>
          <w:lang w:eastAsia="zh-CN"/>
        </w:rPr>
        <w:t>教育管理事务（款）其他教育管理事务支出（项）。年初预算</w:t>
      </w:r>
      <w:r>
        <w:rPr>
          <w:rFonts w:hint="default" w:ascii="Times New Roman" w:hAnsi="Times New Roman" w:cs="Times New Roman"/>
          <w:lang w:val="en-US" w:eastAsia="zh-CN"/>
        </w:rPr>
        <w:t>100</w:t>
      </w:r>
      <w:r>
        <w:rPr>
          <w:rFonts w:hint="default" w:ascii="Times New Roman" w:hAnsi="Times New Roman" w:cs="Times New Roman"/>
          <w:lang w:eastAsia="zh-CN"/>
        </w:rPr>
        <w:t>万元，与上年相比减少</w:t>
      </w:r>
      <w:r>
        <w:rPr>
          <w:rFonts w:hint="default" w:ascii="Times New Roman" w:hAnsi="Times New Roman" w:cs="Times New Roman"/>
          <w:lang w:val="en-US" w:eastAsia="zh-CN"/>
        </w:rPr>
        <w:t>36</w:t>
      </w:r>
      <w:r>
        <w:rPr>
          <w:rFonts w:hint="default" w:ascii="Times New Roman" w:hAnsi="Times New Roman" w:cs="Times New Roman"/>
          <w:lang w:eastAsia="zh-CN"/>
        </w:rPr>
        <w:t>万元，下降</w:t>
      </w:r>
      <w:r>
        <w:rPr>
          <w:rFonts w:hint="default" w:ascii="Times New Roman" w:hAnsi="Times New Roman" w:cs="Times New Roman"/>
          <w:lang w:val="en-US" w:eastAsia="zh-CN"/>
        </w:rPr>
        <w:t>26.47</w:t>
      </w:r>
      <w:r>
        <w:rPr>
          <w:rFonts w:hint="default" w:ascii="Times New Roman" w:hAnsi="Times New Roman" w:cs="Times New Roman"/>
          <w:lang w:eastAsia="zh-CN"/>
        </w:rPr>
        <w:t>%。</w:t>
      </w:r>
      <w:r>
        <w:rPr>
          <w:rFonts w:hint="default" w:ascii="Times New Roman" w:hAnsi="Times New Roman" w:cs="Times New Roman"/>
          <w:lang w:val="en-US" w:eastAsia="zh-CN"/>
        </w:rPr>
        <w:t>变动</w:t>
      </w:r>
      <w:r>
        <w:rPr>
          <w:rFonts w:hint="default" w:ascii="Times New Roman" w:hAnsi="Times New Roman" w:cs="Times New Roman"/>
          <w:lang w:eastAsia="zh-CN"/>
        </w:rPr>
        <w:t>原因</w:t>
      </w:r>
      <w:r>
        <w:rPr>
          <w:rFonts w:hint="default" w:ascii="Times New Roman" w:hAnsi="Times New Roman" w:cs="Times New Roman"/>
        </w:rPr>
        <w:t>是</w:t>
      </w:r>
      <w:r>
        <w:rPr>
          <w:rFonts w:hint="default" w:ascii="Times New Roman" w:hAnsi="Times New Roman" w:cs="Times New Roman"/>
          <w:lang w:eastAsia="zh-CN"/>
        </w:rPr>
        <w:t>参考上年度实际支出情况，压减支出成本。</w:t>
      </w:r>
    </w:p>
    <w:p w14:paraId="2B29DBF7">
      <w:pPr>
        <w:bidi w:val="0"/>
        <w:rPr>
          <w:rFonts w:hint="default" w:ascii="Times New Roman" w:hAnsi="Times New Roman" w:cs="Times New Roman"/>
          <w:lang w:val="en-US" w:eastAsia="zh-CN"/>
        </w:rPr>
      </w:pPr>
      <w:r>
        <w:rPr>
          <w:rFonts w:hint="default" w:ascii="Times New Roman" w:hAnsi="Times New Roman" w:cs="Times New Roman"/>
          <w:lang w:val="en-US" w:eastAsia="zh-CN"/>
        </w:rPr>
        <w:t>2.进修及培训（款）教师进修（项）。年初预算961.29万元，与上年相比减少1.6万元，下降10.17%。变动原因是2024年新增退休人员，费用相应减少。</w:t>
      </w:r>
    </w:p>
    <w:p w14:paraId="2D25BDE3">
      <w:pPr>
        <w:bidi w:val="0"/>
        <w:rPr>
          <w:rFonts w:hint="default" w:ascii="Times New Roman" w:hAnsi="Times New Roman" w:cs="Times New Roman"/>
          <w:lang w:val="en-US" w:eastAsia="zh-CN"/>
        </w:rPr>
      </w:pPr>
      <w:r>
        <w:rPr>
          <w:rFonts w:hint="default" w:ascii="Times New Roman" w:hAnsi="Times New Roman" w:cs="Times New Roman"/>
          <w:lang w:val="en-US" w:eastAsia="zh-CN"/>
        </w:rPr>
        <w:t>3.其他教育支出（款）其他教育支出（项）。年初预算35万元，与上年相比减少5万元，下降12.5%。主要原因是</w:t>
      </w:r>
      <w:r>
        <w:rPr>
          <w:rFonts w:hint="default" w:ascii="Times New Roman" w:hAnsi="Times New Roman" w:cs="Times New Roman"/>
          <w:lang w:eastAsia="zh-CN"/>
        </w:rPr>
        <w:t>参考上年度实际支出情况，压减支出成本</w:t>
      </w:r>
      <w:r>
        <w:rPr>
          <w:rFonts w:hint="default" w:ascii="Times New Roman" w:hAnsi="Times New Roman" w:cs="Times New Roman"/>
          <w:lang w:val="en-US" w:eastAsia="zh-CN"/>
        </w:rPr>
        <w:t>。</w:t>
      </w:r>
    </w:p>
    <w:p w14:paraId="1AD67BB3">
      <w:pPr>
        <w:pStyle w:val="3"/>
        <w:bidi w:val="0"/>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（三）社会保障和就业支出（类）</w:t>
      </w:r>
    </w:p>
    <w:p w14:paraId="2442994D">
      <w:pPr>
        <w:bidi w:val="0"/>
        <w:rPr>
          <w:rFonts w:hint="default" w:ascii="Times New Roman" w:hAnsi="Times New Roman" w:cs="Times New Roman"/>
          <w:lang w:val="en-US" w:eastAsia="zh-CN"/>
        </w:rPr>
      </w:pPr>
      <w:r>
        <w:rPr>
          <w:rFonts w:hint="default" w:ascii="Times New Roman" w:hAnsi="Times New Roman" w:cs="Times New Roman"/>
        </w:rPr>
        <w:t>社会保障和就业支出类年初预算数为</w:t>
      </w:r>
      <w:r>
        <w:rPr>
          <w:rFonts w:hint="default" w:ascii="Times New Roman" w:hAnsi="Times New Roman" w:cs="Times New Roman"/>
          <w:lang w:val="en-US" w:eastAsia="zh-CN"/>
        </w:rPr>
        <w:t>262.99</w:t>
      </w:r>
      <w:r>
        <w:rPr>
          <w:rFonts w:hint="default" w:ascii="Times New Roman" w:hAnsi="Times New Roman" w:cs="Times New Roman"/>
        </w:rPr>
        <w:t>万元，与上年相比减少</w:t>
      </w:r>
      <w:r>
        <w:rPr>
          <w:rFonts w:hint="default" w:ascii="Times New Roman" w:hAnsi="Times New Roman" w:cs="Times New Roman"/>
          <w:lang w:val="en-US" w:eastAsia="zh-CN"/>
        </w:rPr>
        <w:t>9.96</w:t>
      </w:r>
      <w:r>
        <w:rPr>
          <w:rFonts w:hint="default" w:ascii="Times New Roman" w:hAnsi="Times New Roman" w:cs="Times New Roman"/>
        </w:rPr>
        <w:t>万元。其中：</w:t>
      </w:r>
    </w:p>
    <w:p w14:paraId="4349375C">
      <w:pPr>
        <w:bidi w:val="0"/>
        <w:rPr>
          <w:rFonts w:hint="default" w:ascii="Times New Roman" w:hAnsi="Times New Roman" w:cs="Times New Roman"/>
          <w:lang w:val="en-US" w:eastAsia="zh-CN"/>
        </w:rPr>
      </w:pPr>
      <w:r>
        <w:rPr>
          <w:rFonts w:hint="default" w:ascii="Times New Roman" w:hAnsi="Times New Roman" w:cs="Times New Roman"/>
          <w:lang w:val="en-US" w:eastAsia="zh-CN"/>
        </w:rPr>
        <w:t>1.行政事业单位养老支出（款）事业单位离退休（项）。年初预算109.85万元，与上年相比增加9.71万元，增长9.7%。主要原因是退休人员增加，费用相应增加。</w:t>
      </w:r>
    </w:p>
    <w:p w14:paraId="20E27F88">
      <w:pPr>
        <w:bidi w:val="0"/>
        <w:rPr>
          <w:rFonts w:hint="default" w:ascii="Times New Roman" w:hAnsi="Times New Roman" w:cs="Times New Roman"/>
          <w:lang w:val="en-US" w:eastAsia="zh-CN"/>
        </w:rPr>
      </w:pPr>
      <w:r>
        <w:rPr>
          <w:rFonts w:hint="default" w:ascii="Times New Roman" w:hAnsi="Times New Roman" w:cs="Times New Roman"/>
          <w:lang w:val="en-US" w:eastAsia="zh-CN"/>
        </w:rPr>
        <w:t>2.行政事业单位养老支出（款）机关事业单位基本养老保险缴费支出（项）。年初预算118.17万元，与上年相比增加2.97万元，增长2.6%。主要原因是2025年职工工资标准提高，单位基本养老保险基数相应提高。</w:t>
      </w:r>
    </w:p>
    <w:p w14:paraId="364B6C13">
      <w:pPr>
        <w:bidi w:val="0"/>
        <w:rPr>
          <w:rFonts w:hint="default" w:ascii="Times New Roman" w:hAnsi="Times New Roman" w:cs="Times New Roman"/>
          <w:lang w:val="en-US" w:eastAsia="zh-CN"/>
        </w:rPr>
      </w:pPr>
      <w:r>
        <w:rPr>
          <w:rFonts w:hint="default" w:ascii="Times New Roman" w:hAnsi="Times New Roman" w:cs="Times New Roman"/>
          <w:lang w:val="en-US" w:eastAsia="zh-CN"/>
        </w:rPr>
        <w:t>3.行政事业单位养老支出（款）机关事业单位职业年金缴费支出（项）。年初预算34.97万元，与上年相比减少22.63万元，下降39.29%。主要原因是2026年预计退休职工较上年减少，费用相应减少。</w:t>
      </w:r>
    </w:p>
    <w:p w14:paraId="16AE5877">
      <w:pPr>
        <w:pStyle w:val="3"/>
        <w:bidi w:val="0"/>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（四）卫生健康支出（类）</w:t>
      </w:r>
    </w:p>
    <w:p w14:paraId="76F9D9FF">
      <w:pPr>
        <w:bidi w:val="0"/>
        <w:rPr>
          <w:rFonts w:hint="default" w:ascii="Times New Roman" w:hAnsi="Times New Roman" w:cs="Times New Roman"/>
        </w:rPr>
      </w:pPr>
      <w:r>
        <w:rPr>
          <w:rFonts w:hint="default" w:ascii="Times New Roman" w:hAnsi="Times New Roman" w:cs="Times New Roman"/>
        </w:rPr>
        <w:t>卫生健康支出类年初预算数为</w:t>
      </w:r>
      <w:r>
        <w:rPr>
          <w:rFonts w:hint="default" w:ascii="Times New Roman" w:hAnsi="Times New Roman" w:cs="Times New Roman"/>
          <w:lang w:val="en-US" w:eastAsia="zh-CN"/>
        </w:rPr>
        <w:t>67.69</w:t>
      </w:r>
      <w:r>
        <w:rPr>
          <w:rFonts w:hint="default" w:ascii="Times New Roman" w:hAnsi="Times New Roman" w:cs="Times New Roman"/>
        </w:rPr>
        <w:t>万元，与上年相比</w:t>
      </w:r>
      <w:r>
        <w:rPr>
          <w:rFonts w:hint="default" w:ascii="Times New Roman" w:hAnsi="Times New Roman" w:cs="Times New Roman"/>
          <w:lang w:eastAsia="zh-CN"/>
        </w:rPr>
        <w:t>增加</w:t>
      </w:r>
      <w:r>
        <w:rPr>
          <w:rFonts w:hint="default" w:ascii="Times New Roman" w:hAnsi="Times New Roman" w:cs="Times New Roman"/>
          <w:lang w:val="en-US" w:eastAsia="zh-CN"/>
        </w:rPr>
        <w:t>0.12</w:t>
      </w:r>
      <w:r>
        <w:rPr>
          <w:rFonts w:hint="default" w:ascii="Times New Roman" w:hAnsi="Times New Roman" w:cs="Times New Roman"/>
        </w:rPr>
        <w:t>万元。其中：</w:t>
      </w:r>
    </w:p>
    <w:p w14:paraId="17605431">
      <w:pPr>
        <w:bidi w:val="0"/>
        <w:rPr>
          <w:rFonts w:hint="default" w:ascii="Times New Roman" w:hAnsi="Times New Roman" w:cs="Times New Roman"/>
          <w:lang w:val="en-US" w:eastAsia="zh-CN"/>
        </w:rPr>
      </w:pPr>
      <w:r>
        <w:rPr>
          <w:rFonts w:hint="default" w:ascii="Times New Roman" w:hAnsi="Times New Roman" w:cs="Times New Roman"/>
          <w:lang w:val="en-US" w:eastAsia="zh-CN"/>
        </w:rPr>
        <w:t>行政事业单位医疗（款）事业单位医疗（项）。年初预算67.69万元，与上年相比增加0.12万元，增长0.18%。主要原因是2025年职工工资标准提高，单位医疗保险基数相应提高。</w:t>
      </w:r>
    </w:p>
    <w:p w14:paraId="128F4C11">
      <w:pPr>
        <w:pStyle w:val="3"/>
        <w:bidi w:val="0"/>
        <w:rPr>
          <w:rFonts w:hint="default" w:ascii="Times New Roman" w:hAnsi="Times New Roman" w:cs="Times New Roman"/>
          <w:b/>
          <w:bCs w:val="0"/>
          <w:lang w:val="en-US" w:eastAsia="zh-CN"/>
        </w:rPr>
      </w:pPr>
      <w:r>
        <w:rPr>
          <w:rFonts w:hint="default" w:ascii="Times New Roman" w:hAnsi="Times New Roman" w:cs="Times New Roman"/>
          <w:b/>
          <w:bCs w:val="0"/>
          <w:lang w:val="en-US" w:eastAsia="zh-CN"/>
        </w:rPr>
        <w:t>（五）住房保障支出（类）</w:t>
      </w:r>
    </w:p>
    <w:p w14:paraId="52C31F91">
      <w:pPr>
        <w:bidi w:val="0"/>
        <w:rPr>
          <w:rFonts w:hint="default" w:ascii="Times New Roman" w:hAnsi="Times New Roman" w:cs="Times New Roman"/>
          <w:lang w:val="en-US" w:eastAsia="zh-CN"/>
        </w:rPr>
      </w:pPr>
      <w:r>
        <w:rPr>
          <w:rFonts w:hint="default" w:ascii="Times New Roman" w:hAnsi="Times New Roman" w:cs="Times New Roman"/>
        </w:rPr>
        <w:t>住房保障支出类年初预算数为</w:t>
      </w:r>
      <w:r>
        <w:rPr>
          <w:rFonts w:hint="default" w:ascii="Times New Roman" w:hAnsi="Times New Roman" w:cs="Times New Roman"/>
          <w:lang w:val="en-US" w:eastAsia="zh-CN"/>
        </w:rPr>
        <w:t>107.56</w:t>
      </w:r>
      <w:r>
        <w:rPr>
          <w:rFonts w:hint="default" w:ascii="Times New Roman" w:hAnsi="Times New Roman" w:cs="Times New Roman"/>
        </w:rPr>
        <w:t>万元，与上年相比</w:t>
      </w:r>
      <w:r>
        <w:rPr>
          <w:rFonts w:hint="default" w:ascii="Times New Roman" w:hAnsi="Times New Roman" w:cs="Times New Roman"/>
          <w:lang w:eastAsia="zh-CN"/>
        </w:rPr>
        <w:t>增加</w:t>
      </w:r>
      <w:r>
        <w:rPr>
          <w:rFonts w:hint="default" w:ascii="Times New Roman" w:hAnsi="Times New Roman" w:cs="Times New Roman"/>
          <w:lang w:val="en-US" w:eastAsia="zh-CN"/>
        </w:rPr>
        <w:t>0.18</w:t>
      </w:r>
      <w:r>
        <w:rPr>
          <w:rFonts w:hint="default" w:ascii="Times New Roman" w:hAnsi="Times New Roman" w:cs="Times New Roman"/>
        </w:rPr>
        <w:t>万元。其中：</w:t>
      </w:r>
    </w:p>
    <w:p w14:paraId="6B8A4FFF">
      <w:pPr>
        <w:bidi w:val="0"/>
        <w:rPr>
          <w:rFonts w:hint="default" w:ascii="Times New Roman" w:hAnsi="Times New Roman" w:cs="Times New Roman"/>
          <w:lang w:val="en-US" w:eastAsia="zh-CN"/>
        </w:rPr>
      </w:pPr>
      <w:r>
        <w:rPr>
          <w:rFonts w:hint="default" w:ascii="Times New Roman" w:hAnsi="Times New Roman" w:cs="Times New Roman"/>
          <w:lang w:val="en-US" w:eastAsia="zh-CN"/>
        </w:rPr>
        <w:t>住房改革支出（款）住房公积金（项）。年初预算107.56万元，与上年相比</w:t>
      </w:r>
      <w:r>
        <w:rPr>
          <w:rFonts w:hint="default" w:ascii="Times New Roman" w:hAnsi="Times New Roman" w:cs="Times New Roman"/>
          <w:lang w:eastAsia="zh-CN"/>
        </w:rPr>
        <w:t>增加</w:t>
      </w:r>
      <w:r>
        <w:rPr>
          <w:rFonts w:hint="default" w:ascii="Times New Roman" w:hAnsi="Times New Roman" w:cs="Times New Roman"/>
          <w:lang w:val="en-US" w:eastAsia="zh-CN"/>
        </w:rPr>
        <w:t>0.18万元，增长0.17%。主要原因是2025年职工工资标准提高，单位住房公积金基数相应提高。</w:t>
      </w:r>
    </w:p>
    <w:p w14:paraId="12DF9C32">
      <w:pPr>
        <w:pStyle w:val="2"/>
        <w:bidi w:val="0"/>
        <w:rPr>
          <w:rFonts w:hint="default" w:ascii="Times New Roman" w:hAnsi="Times New Roman" w:cs="Times New Roman"/>
        </w:rPr>
      </w:pPr>
      <w:r>
        <w:rPr>
          <w:rFonts w:hint="default" w:ascii="Times New Roman" w:hAnsi="Times New Roman" w:cs="Times New Roman"/>
          <w:lang w:eastAsia="zh-CN"/>
        </w:rPr>
        <w:t>六</w:t>
      </w:r>
      <w:r>
        <w:rPr>
          <w:rFonts w:hint="default" w:ascii="Times New Roman" w:hAnsi="Times New Roman" w:cs="Times New Roman"/>
        </w:rPr>
        <w:t>、一般公共预算基本支出预算情况说明</w:t>
      </w:r>
    </w:p>
    <w:p w14:paraId="1DFA378E">
      <w:pPr>
        <w:bidi w:val="0"/>
        <w:rPr>
          <w:rFonts w:hint="default" w:ascii="Times New Roman" w:hAnsi="Times New Roman" w:cs="Times New Roman"/>
        </w:rPr>
      </w:pPr>
      <w:r>
        <w:rPr>
          <w:rFonts w:hint="default" w:ascii="Times New Roman" w:hAnsi="Times New Roman" w:cs="Times New Roman"/>
          <w:lang w:val="en-US" w:eastAsia="zh-CN"/>
        </w:rPr>
        <w:t>乌海市教育事业发展中心本年</w:t>
      </w:r>
      <w:r>
        <w:rPr>
          <w:rFonts w:hint="default" w:ascii="Times New Roman" w:hAnsi="Times New Roman" w:cs="Times New Roman"/>
        </w:rPr>
        <w:t>一般公共预算财政拨款基本支出预算</w:t>
      </w:r>
      <w:r>
        <w:rPr>
          <w:rFonts w:hint="default" w:ascii="Times New Roman" w:hAnsi="Times New Roman" w:cs="Times New Roman"/>
          <w:lang w:val="en-US" w:eastAsia="zh-CN"/>
        </w:rPr>
        <w:t>1415.32</w:t>
      </w:r>
      <w:r>
        <w:rPr>
          <w:rFonts w:hint="default" w:ascii="Times New Roman" w:hAnsi="Times New Roman" w:cs="Times New Roman"/>
        </w:rPr>
        <w:t>万元，其中：</w:t>
      </w:r>
    </w:p>
    <w:p w14:paraId="2DC4C934">
      <w:pPr>
        <w:bidi w:val="0"/>
        <w:rPr>
          <w:rFonts w:hint="default" w:ascii="Times New Roman" w:hAnsi="Times New Roman" w:cs="Times New Roman"/>
        </w:rPr>
      </w:pPr>
      <w:r>
        <w:rPr>
          <w:rStyle w:val="14"/>
          <w:rFonts w:hint="default" w:ascii="Times New Roman" w:hAnsi="Times New Roman" w:cs="Times New Roman"/>
          <w:b/>
          <w:bCs w:val="0"/>
        </w:rPr>
        <w:t>（一）人员经费</w:t>
      </w:r>
      <w:r>
        <w:rPr>
          <w:rStyle w:val="14"/>
          <w:rFonts w:hint="default" w:ascii="Times New Roman" w:hAnsi="Times New Roman" w:cs="Times New Roman"/>
          <w:b/>
          <w:bCs w:val="0"/>
          <w:lang w:val="en-US" w:eastAsia="zh-CN"/>
        </w:rPr>
        <w:t>1337.64</w:t>
      </w:r>
      <w:r>
        <w:rPr>
          <w:rStyle w:val="14"/>
          <w:rFonts w:hint="default" w:ascii="Times New Roman" w:hAnsi="Times New Roman" w:cs="Times New Roman"/>
          <w:b/>
          <w:bCs w:val="0"/>
        </w:rPr>
        <w:t>万元。</w:t>
      </w:r>
      <w:r>
        <w:rPr>
          <w:rFonts w:hint="default" w:ascii="Times New Roman" w:hAnsi="Times New Roman" w:cs="Times New Roman"/>
        </w:rPr>
        <w:t>主要包括：基本工资</w:t>
      </w:r>
      <w:r>
        <w:rPr>
          <w:rFonts w:hint="default" w:ascii="Times New Roman" w:hAnsi="Times New Roman" w:cs="Times New Roman"/>
          <w:lang w:val="en-US" w:eastAsia="zh-CN"/>
        </w:rPr>
        <w:t>379.06</w:t>
      </w:r>
      <w:r>
        <w:rPr>
          <w:rFonts w:hint="default" w:ascii="Times New Roman" w:hAnsi="Times New Roman" w:cs="Times New Roman"/>
        </w:rPr>
        <w:t>万元、津贴补贴</w:t>
      </w:r>
      <w:r>
        <w:rPr>
          <w:rFonts w:hint="default" w:ascii="Times New Roman" w:hAnsi="Times New Roman" w:cs="Times New Roman"/>
          <w:lang w:val="en-US" w:eastAsia="zh-CN"/>
        </w:rPr>
        <w:t>188.00</w:t>
      </w:r>
      <w:r>
        <w:rPr>
          <w:rFonts w:hint="default" w:ascii="Times New Roman" w:hAnsi="Times New Roman" w:cs="Times New Roman"/>
        </w:rPr>
        <w:t>万元、奖金</w:t>
      </w:r>
      <w:r>
        <w:rPr>
          <w:rFonts w:hint="default" w:ascii="Times New Roman" w:hAnsi="Times New Roman" w:cs="Times New Roman"/>
          <w:lang w:val="en-US" w:eastAsia="zh-CN"/>
        </w:rPr>
        <w:t>62.71</w:t>
      </w:r>
      <w:r>
        <w:rPr>
          <w:rFonts w:hint="default" w:ascii="Times New Roman" w:hAnsi="Times New Roman" w:cs="Times New Roman"/>
        </w:rPr>
        <w:t>万元、绩效工资</w:t>
      </w:r>
      <w:r>
        <w:rPr>
          <w:rFonts w:hint="default" w:ascii="Times New Roman" w:hAnsi="Times New Roman" w:cs="Times New Roman"/>
          <w:lang w:val="en-US" w:eastAsia="zh-CN"/>
        </w:rPr>
        <w:t>263.30</w:t>
      </w:r>
      <w:r>
        <w:rPr>
          <w:rFonts w:hint="default" w:ascii="Times New Roman" w:hAnsi="Times New Roman" w:cs="Times New Roman"/>
        </w:rPr>
        <w:t>万元、机关事业单位基本养老保险缴费118.17万元、职业年金缴费34.97万元、职工基本医疗保险缴费67.22万元、其他社会保障缴费6.59万元、住房公积金</w:t>
      </w:r>
      <w:r>
        <w:rPr>
          <w:rFonts w:hint="default" w:ascii="Times New Roman" w:hAnsi="Times New Roman" w:cs="Times New Roman"/>
          <w:lang w:val="en-US" w:eastAsia="zh-CN"/>
        </w:rPr>
        <w:t>107.56</w:t>
      </w:r>
      <w:r>
        <w:rPr>
          <w:rFonts w:hint="default" w:ascii="Times New Roman" w:hAnsi="Times New Roman" w:cs="Times New Roman"/>
        </w:rPr>
        <w:t>万元、其他工资福利支出</w:t>
      </w:r>
      <w:r>
        <w:rPr>
          <w:rFonts w:hint="default" w:ascii="Times New Roman" w:hAnsi="Times New Roman" w:cs="Times New Roman"/>
          <w:lang w:val="en-US" w:eastAsia="zh-CN"/>
        </w:rPr>
        <w:t>0.05</w:t>
      </w:r>
      <w:r>
        <w:rPr>
          <w:rFonts w:hint="default" w:ascii="Times New Roman" w:hAnsi="Times New Roman" w:cs="Times New Roman"/>
        </w:rPr>
        <w:t>万元、离休费</w:t>
      </w:r>
      <w:r>
        <w:rPr>
          <w:rFonts w:hint="default" w:ascii="Times New Roman" w:hAnsi="Times New Roman" w:cs="Times New Roman"/>
          <w:lang w:val="en-US" w:eastAsia="zh-CN"/>
        </w:rPr>
        <w:t>18.99</w:t>
      </w:r>
      <w:r>
        <w:rPr>
          <w:rFonts w:hint="default" w:ascii="Times New Roman" w:hAnsi="Times New Roman" w:cs="Times New Roman"/>
        </w:rPr>
        <w:t>万元、退休费</w:t>
      </w:r>
      <w:r>
        <w:rPr>
          <w:rFonts w:hint="default" w:ascii="Times New Roman" w:hAnsi="Times New Roman" w:cs="Times New Roman"/>
          <w:lang w:val="en-US" w:eastAsia="zh-CN"/>
        </w:rPr>
        <w:t>87.66</w:t>
      </w:r>
      <w:r>
        <w:rPr>
          <w:rFonts w:hint="default" w:ascii="Times New Roman" w:hAnsi="Times New Roman" w:cs="Times New Roman"/>
        </w:rPr>
        <w:t>万元、生活补助</w:t>
      </w:r>
      <w:r>
        <w:rPr>
          <w:rFonts w:hint="default" w:ascii="Times New Roman" w:hAnsi="Times New Roman" w:cs="Times New Roman"/>
          <w:lang w:val="en-US" w:eastAsia="zh-CN"/>
        </w:rPr>
        <w:t>3.16</w:t>
      </w:r>
      <w:r>
        <w:rPr>
          <w:rFonts w:hint="default" w:ascii="Times New Roman" w:hAnsi="Times New Roman" w:cs="Times New Roman"/>
        </w:rPr>
        <w:t>万元、其他对个人和家庭的补助</w:t>
      </w:r>
      <w:r>
        <w:rPr>
          <w:rFonts w:hint="default" w:ascii="Times New Roman" w:hAnsi="Times New Roman" w:cs="Times New Roman"/>
          <w:lang w:val="en-US" w:eastAsia="zh-CN"/>
        </w:rPr>
        <w:t>0.20</w:t>
      </w:r>
      <w:r>
        <w:rPr>
          <w:rFonts w:hint="default" w:ascii="Times New Roman" w:hAnsi="Times New Roman" w:cs="Times New Roman"/>
        </w:rPr>
        <w:t>万元等。</w:t>
      </w:r>
    </w:p>
    <w:p w14:paraId="35A30120">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default" w:ascii="Times New Roman" w:hAnsi="Times New Roman" w:cs="Times New Roman"/>
        </w:rPr>
      </w:pPr>
      <w:r>
        <w:rPr>
          <w:rStyle w:val="14"/>
          <w:rFonts w:hint="default" w:ascii="Times New Roman" w:hAnsi="Times New Roman" w:cs="Times New Roman"/>
          <w:b/>
          <w:bCs w:val="0"/>
        </w:rPr>
        <w:t>（二）公用经费</w:t>
      </w:r>
      <w:r>
        <w:rPr>
          <w:rStyle w:val="14"/>
          <w:rFonts w:hint="default" w:ascii="Times New Roman" w:hAnsi="Times New Roman" w:cs="Times New Roman"/>
          <w:b/>
          <w:bCs w:val="0"/>
          <w:lang w:val="en-US" w:eastAsia="zh-CN"/>
        </w:rPr>
        <w:t>77.68</w:t>
      </w:r>
      <w:r>
        <w:rPr>
          <w:rStyle w:val="14"/>
          <w:rFonts w:hint="default" w:ascii="Times New Roman" w:hAnsi="Times New Roman" w:cs="Times New Roman"/>
          <w:b/>
          <w:bCs w:val="0"/>
        </w:rPr>
        <w:t>万元。</w:t>
      </w:r>
      <w:r>
        <w:rPr>
          <w:rFonts w:hint="default" w:ascii="Times New Roman" w:hAnsi="Times New Roman" w:cs="Times New Roman"/>
        </w:rPr>
        <w:t>主要包括：其他工资福利支出1.88万元、办公费8.52万</w:t>
      </w:r>
      <w:bookmarkStart w:id="0" w:name="_GoBack"/>
      <w:bookmarkEnd w:id="0"/>
      <w:r>
        <w:rPr>
          <w:rFonts w:hint="default" w:ascii="Times New Roman" w:hAnsi="Times New Roman" w:cs="Times New Roman"/>
        </w:rPr>
        <w:t>元、邮电费0.9万元、差旅费1万元、培训费19.73万元、工会经费15.78万元、公务用车运行维护费</w:t>
      </w:r>
      <w:r>
        <w:rPr>
          <w:rFonts w:hint="default" w:ascii="Times New Roman" w:hAnsi="Times New Roman" w:cs="Times New Roman"/>
          <w:lang w:val="en-US" w:eastAsia="zh-CN"/>
        </w:rPr>
        <w:t>4.33万元、</w:t>
      </w:r>
      <w:r>
        <w:rPr>
          <w:rFonts w:hint="default" w:ascii="Times New Roman" w:hAnsi="Times New Roman" w:cs="Times New Roman"/>
        </w:rPr>
        <w:t>其他商品和服务支出25.03</w:t>
      </w:r>
      <w:r>
        <w:rPr>
          <w:rFonts w:hint="default" w:ascii="Times New Roman" w:hAnsi="Times New Roman" w:cs="Times New Roman"/>
          <w:lang w:eastAsia="zh-CN"/>
        </w:rPr>
        <w:t>万元、办公设备购置</w:t>
      </w:r>
      <w:r>
        <w:rPr>
          <w:rFonts w:hint="default" w:ascii="Times New Roman" w:hAnsi="Times New Roman" w:cs="Times New Roman"/>
          <w:lang w:val="en-US" w:eastAsia="zh-CN"/>
        </w:rPr>
        <w:t>0.5万元</w:t>
      </w:r>
      <w:r>
        <w:rPr>
          <w:rFonts w:hint="default" w:ascii="Times New Roman" w:hAnsi="Times New Roman" w:cs="Times New Roman"/>
        </w:rPr>
        <w:t>。</w:t>
      </w:r>
    </w:p>
    <w:p w14:paraId="44017AE4">
      <w:pPr>
        <w:pStyle w:val="2"/>
        <w:bidi w:val="0"/>
        <w:rPr>
          <w:rFonts w:hint="default" w:ascii="Times New Roman" w:hAnsi="Times New Roman" w:cs="Times New Roman"/>
          <w:lang w:val="en-US" w:eastAsia="zh-CN"/>
        </w:rPr>
      </w:pPr>
      <w:r>
        <w:rPr>
          <w:rFonts w:hint="default" w:ascii="Times New Roman" w:hAnsi="Times New Roman" w:cs="Times New Roman"/>
          <w:lang w:val="en-US" w:eastAsia="zh-CN"/>
        </w:rPr>
        <w:t>七、</w:t>
      </w:r>
      <w:r>
        <w:rPr>
          <w:rFonts w:hint="default" w:ascii="Times New Roman" w:hAnsi="Times New Roman" w:cs="Times New Roman"/>
        </w:rPr>
        <w:t>一般公共预算“三公”经费支出预算情况说明</w:t>
      </w:r>
    </w:p>
    <w:p w14:paraId="6CE20842">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年一般公共预算拨款安排的“三公”经费预算支出4.33万元，其中因公出国（境）费支出</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lang w:eastAsia="zh-CN"/>
        </w:rPr>
        <w:t>%</w:t>
      </w:r>
      <w:r>
        <w:rPr>
          <w:rFonts w:hint="default" w:ascii="Times New Roman" w:hAnsi="Times New Roman" w:cs="Times New Roman"/>
        </w:rPr>
        <w:t>；公务用车购置及运行维护费支出4.33万元，占</w:t>
      </w:r>
      <w:r>
        <w:rPr>
          <w:rFonts w:hint="default" w:ascii="Times New Roman" w:hAnsi="Times New Roman" w:cs="Times New Roman"/>
          <w:lang w:val="en-US" w:eastAsia="zh-CN"/>
        </w:rPr>
        <w:t>100</w:t>
      </w:r>
      <w:r>
        <w:rPr>
          <w:rFonts w:hint="default" w:ascii="Times New Roman" w:hAnsi="Times New Roman" w:cs="Times New Roman"/>
          <w:lang w:eastAsia="zh-CN"/>
        </w:rPr>
        <w:t>%</w:t>
      </w:r>
      <w:r>
        <w:rPr>
          <w:rFonts w:hint="default" w:ascii="Times New Roman" w:hAnsi="Times New Roman" w:cs="Times New Roman"/>
        </w:rPr>
        <w:t>；公务接待费支出</w:t>
      </w:r>
      <w:r>
        <w:rPr>
          <w:rFonts w:hint="default" w:ascii="Times New Roman" w:hAnsi="Times New Roman" w:cs="Times New Roman"/>
          <w:lang w:val="en-US" w:eastAsia="zh-CN"/>
        </w:rPr>
        <w:t>0</w:t>
      </w:r>
      <w:r>
        <w:rPr>
          <w:rFonts w:hint="default" w:ascii="Times New Roman" w:hAnsi="Times New Roman" w:cs="Times New Roman"/>
        </w:rPr>
        <w:t>万元，占</w:t>
      </w:r>
      <w:r>
        <w:rPr>
          <w:rFonts w:hint="default" w:ascii="Times New Roman" w:hAnsi="Times New Roman" w:cs="Times New Roman"/>
          <w:lang w:val="en-US" w:eastAsia="zh-CN"/>
        </w:rPr>
        <w:t>0</w:t>
      </w:r>
      <w:r>
        <w:rPr>
          <w:rFonts w:hint="default" w:ascii="Times New Roman" w:hAnsi="Times New Roman" w:cs="Times New Roman"/>
          <w:lang w:eastAsia="zh-CN"/>
        </w:rPr>
        <w:t>%</w:t>
      </w:r>
      <w:r>
        <w:rPr>
          <w:rFonts w:hint="default" w:ascii="Times New Roman" w:hAnsi="Times New Roman" w:cs="Times New Roman"/>
        </w:rPr>
        <w:t>。具体情况如下：</w:t>
      </w:r>
    </w:p>
    <w:p w14:paraId="415F94CE">
      <w:pPr>
        <w:bidi w:val="0"/>
        <w:rPr>
          <w:rFonts w:hint="default" w:ascii="Times New Roman" w:hAnsi="Times New Roman" w:cs="Times New Roman"/>
        </w:rPr>
      </w:pPr>
      <w:r>
        <w:rPr>
          <w:rFonts w:hint="default" w:ascii="Times New Roman" w:hAnsi="Times New Roman" w:cs="Times New Roman"/>
        </w:rPr>
        <w:t>一般公共预算拨款安排的“三公”经费预算支出4.33万元，比上年预算增加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lang w:eastAsia="zh-CN"/>
        </w:rPr>
        <w:t>%</w:t>
      </w:r>
      <w:r>
        <w:rPr>
          <w:rFonts w:hint="default" w:ascii="Times New Roman" w:hAnsi="Times New Roman" w:cs="Times New Roman"/>
        </w:rPr>
        <w:t>；其中：</w:t>
      </w:r>
    </w:p>
    <w:p w14:paraId="7543D9F0">
      <w:pPr>
        <w:bidi w:val="0"/>
        <w:rPr>
          <w:rFonts w:hint="default" w:ascii="Times New Roman" w:hAnsi="Times New Roman" w:cs="Times New Roman"/>
        </w:rPr>
      </w:pPr>
      <w:r>
        <w:rPr>
          <w:rFonts w:hint="default" w:ascii="Times New Roman" w:hAnsi="Times New Roman" w:cs="Times New Roman"/>
        </w:rPr>
        <w:t>1</w:t>
      </w:r>
      <w:r>
        <w:rPr>
          <w:rFonts w:hint="eastAsia" w:cs="Times New Roman"/>
          <w:lang w:val="en-US" w:eastAsia="zh-CN"/>
        </w:rPr>
        <w:t>.</w:t>
      </w:r>
      <w:r>
        <w:rPr>
          <w:rFonts w:hint="default" w:ascii="Times New Roman" w:hAnsi="Times New Roman" w:cs="Times New Roman"/>
        </w:rPr>
        <w:t>因公出国（境）费预算支出</w:t>
      </w:r>
      <w:r>
        <w:rPr>
          <w:rFonts w:hint="default" w:ascii="Times New Roman" w:hAnsi="Times New Roman" w:cs="Times New Roman"/>
          <w:lang w:val="en-US" w:eastAsia="zh-CN"/>
        </w:rPr>
        <w:t>0</w:t>
      </w:r>
      <w:r>
        <w:rPr>
          <w:rFonts w:hint="default" w:ascii="Times New Roman" w:hAnsi="Times New Roman" w:cs="Times New Roman"/>
        </w:rPr>
        <w:t>万元，比上年预算增加</w:t>
      </w:r>
      <w:r>
        <w:rPr>
          <w:rFonts w:hint="default" w:ascii="Times New Roman" w:hAnsi="Times New Roman" w:cs="Times New Roman"/>
          <w:lang w:val="en-US" w:eastAsia="zh-CN"/>
        </w:rPr>
        <w:t>0</w:t>
      </w:r>
      <w:r>
        <w:rPr>
          <w:rFonts w:hint="default" w:ascii="Times New Roman" w:hAnsi="Times New Roman" w:cs="Times New Roman"/>
        </w:rPr>
        <w:t>万元，主要原因</w:t>
      </w:r>
      <w:r>
        <w:rPr>
          <w:rFonts w:hint="default" w:ascii="Times New Roman" w:hAnsi="Times New Roman" w:cs="Times New Roman"/>
          <w:lang w:eastAsia="zh-CN"/>
        </w:rPr>
        <w:t>本年无因公出国（境）预算支出</w:t>
      </w:r>
      <w:r>
        <w:rPr>
          <w:rFonts w:hint="default" w:ascii="Times New Roman" w:hAnsi="Times New Roman" w:cs="Times New Roman"/>
        </w:rPr>
        <w:t>。</w:t>
      </w:r>
    </w:p>
    <w:p w14:paraId="3E2A8C17">
      <w:pPr>
        <w:bidi w:val="0"/>
        <w:rPr>
          <w:rFonts w:hint="default" w:ascii="Times New Roman" w:hAnsi="Times New Roman" w:cs="Times New Roman"/>
        </w:rPr>
      </w:pPr>
      <w:r>
        <w:rPr>
          <w:rFonts w:hint="default" w:ascii="Times New Roman" w:hAnsi="Times New Roman" w:cs="Times New Roman"/>
        </w:rPr>
        <w:t>2</w:t>
      </w:r>
      <w:r>
        <w:rPr>
          <w:rFonts w:hint="eastAsia" w:cs="Times New Roman"/>
          <w:lang w:val="en-US" w:eastAsia="zh-CN"/>
        </w:rPr>
        <w:t>.</w:t>
      </w:r>
      <w:r>
        <w:rPr>
          <w:rFonts w:hint="default" w:ascii="Times New Roman" w:hAnsi="Times New Roman" w:cs="Times New Roman"/>
        </w:rPr>
        <w:t>公务用车购置及运行维护费预算支出</w:t>
      </w:r>
      <w:r>
        <w:rPr>
          <w:rFonts w:hint="default" w:ascii="Times New Roman" w:hAnsi="Times New Roman" w:cs="Times New Roman"/>
          <w:lang w:val="en-US" w:eastAsia="zh-CN"/>
        </w:rPr>
        <w:t>4.33</w:t>
      </w:r>
      <w:r>
        <w:rPr>
          <w:rFonts w:hint="default" w:ascii="Times New Roman" w:hAnsi="Times New Roman" w:cs="Times New Roman"/>
        </w:rPr>
        <w:t>万元。其中：</w:t>
      </w:r>
    </w:p>
    <w:p w14:paraId="66D6C514">
      <w:pPr>
        <w:bidi w:val="0"/>
        <w:rPr>
          <w:rFonts w:hint="default" w:ascii="Times New Roman" w:hAnsi="Times New Roman" w:cs="Times New Roman"/>
        </w:rPr>
      </w:pPr>
      <w:r>
        <w:rPr>
          <w:rFonts w:hint="default" w:ascii="Times New Roman" w:hAnsi="Times New Roman" w:cs="Times New Roman"/>
        </w:rPr>
        <w:t>（1）公务用车购置预算支出</w:t>
      </w:r>
      <w:r>
        <w:rPr>
          <w:rFonts w:hint="default" w:ascii="Times New Roman" w:hAnsi="Times New Roman" w:cs="Times New Roman"/>
          <w:lang w:val="en-US" w:eastAsia="zh-CN"/>
        </w:rPr>
        <w:t>0</w:t>
      </w:r>
      <w:r>
        <w:rPr>
          <w:rFonts w:hint="default" w:ascii="Times New Roman" w:hAnsi="Times New Roman" w:cs="Times New Roman"/>
        </w:rPr>
        <w:t>万元，比上年预算增加</w:t>
      </w:r>
      <w:r>
        <w:rPr>
          <w:rFonts w:hint="default" w:ascii="Times New Roman" w:hAnsi="Times New Roman" w:cs="Times New Roman"/>
          <w:lang w:val="en-US" w:eastAsia="zh-CN"/>
        </w:rPr>
        <w:t>0</w:t>
      </w:r>
      <w:r>
        <w:rPr>
          <w:rFonts w:hint="default" w:ascii="Times New Roman" w:hAnsi="Times New Roman" w:cs="Times New Roman"/>
        </w:rPr>
        <w:t>万元，主要原因</w:t>
      </w:r>
      <w:r>
        <w:rPr>
          <w:rFonts w:hint="default" w:ascii="Times New Roman" w:hAnsi="Times New Roman" w:cs="Times New Roman"/>
          <w:lang w:eastAsia="zh-CN"/>
        </w:rPr>
        <w:t>本年无公务用车购置预算支出。</w:t>
      </w:r>
    </w:p>
    <w:p w14:paraId="216D2C92">
      <w:pPr>
        <w:bidi w:val="0"/>
        <w:rPr>
          <w:rFonts w:hint="default" w:ascii="Times New Roman" w:hAnsi="Times New Roman" w:cs="Times New Roman"/>
        </w:rPr>
      </w:pPr>
      <w:r>
        <w:rPr>
          <w:rFonts w:hint="default" w:ascii="Times New Roman" w:hAnsi="Times New Roman" w:cs="Times New Roman"/>
        </w:rPr>
        <w:t>（2）公务用车运行维护费预算支出</w:t>
      </w:r>
      <w:r>
        <w:rPr>
          <w:rFonts w:hint="default" w:ascii="Times New Roman" w:hAnsi="Times New Roman" w:cs="Times New Roman"/>
          <w:lang w:val="en-US" w:eastAsia="zh-CN"/>
        </w:rPr>
        <w:t>4.33</w:t>
      </w:r>
      <w:r>
        <w:rPr>
          <w:rFonts w:hint="default" w:ascii="Times New Roman" w:hAnsi="Times New Roman" w:cs="Times New Roman"/>
        </w:rPr>
        <w:t>万元，比上年预算增加</w:t>
      </w:r>
      <w:r>
        <w:rPr>
          <w:rFonts w:hint="default" w:ascii="Times New Roman" w:hAnsi="Times New Roman" w:cs="Times New Roman"/>
          <w:lang w:val="en-US" w:eastAsia="zh-CN"/>
        </w:rPr>
        <w:t>0</w:t>
      </w:r>
      <w:r>
        <w:rPr>
          <w:rFonts w:hint="default" w:ascii="Times New Roman" w:hAnsi="Times New Roman" w:cs="Times New Roman"/>
        </w:rPr>
        <w:t>万元，主要原因</w:t>
      </w:r>
      <w:r>
        <w:rPr>
          <w:rFonts w:hint="default" w:ascii="Times New Roman" w:hAnsi="Times New Roman" w:cs="Times New Roman"/>
          <w:lang w:eastAsia="zh-CN"/>
        </w:rPr>
        <w:t>无此项变动。</w:t>
      </w:r>
    </w:p>
    <w:p w14:paraId="465C1650">
      <w:pPr>
        <w:bidi w:val="0"/>
        <w:rPr>
          <w:rFonts w:hint="default" w:ascii="Times New Roman" w:hAnsi="Times New Roman" w:cs="Times New Roman"/>
        </w:rPr>
      </w:pPr>
      <w:r>
        <w:rPr>
          <w:rFonts w:hint="default" w:ascii="Times New Roman" w:hAnsi="Times New Roman" w:cs="Times New Roman"/>
        </w:rPr>
        <w:t>3</w:t>
      </w:r>
      <w:r>
        <w:rPr>
          <w:rFonts w:hint="eastAsia" w:cs="Times New Roman"/>
          <w:lang w:val="en-US" w:eastAsia="zh-CN"/>
        </w:rPr>
        <w:t>.</w:t>
      </w:r>
      <w:r>
        <w:rPr>
          <w:rFonts w:hint="default" w:ascii="Times New Roman" w:hAnsi="Times New Roman" w:cs="Times New Roman"/>
        </w:rPr>
        <w:t>公务接待费预算支出</w:t>
      </w:r>
      <w:r>
        <w:rPr>
          <w:rFonts w:hint="default" w:ascii="Times New Roman" w:hAnsi="Times New Roman" w:cs="Times New Roman"/>
          <w:lang w:val="en-US" w:eastAsia="zh-CN"/>
        </w:rPr>
        <w:t>0</w:t>
      </w:r>
      <w:r>
        <w:rPr>
          <w:rFonts w:hint="default" w:ascii="Times New Roman" w:hAnsi="Times New Roman" w:cs="Times New Roman"/>
        </w:rPr>
        <w:t>万元，比上年预算增加</w:t>
      </w:r>
      <w:r>
        <w:rPr>
          <w:rFonts w:hint="default" w:ascii="Times New Roman" w:hAnsi="Times New Roman" w:cs="Times New Roman"/>
          <w:lang w:val="en-US" w:eastAsia="zh-CN"/>
        </w:rPr>
        <w:t>0</w:t>
      </w:r>
      <w:r>
        <w:rPr>
          <w:rFonts w:hint="default" w:ascii="Times New Roman" w:hAnsi="Times New Roman" w:cs="Times New Roman"/>
        </w:rPr>
        <w:t>万元，主要原因</w:t>
      </w:r>
      <w:r>
        <w:rPr>
          <w:rFonts w:hint="default" w:ascii="Times New Roman" w:hAnsi="Times New Roman" w:cs="Times New Roman"/>
          <w:lang w:eastAsia="zh-CN"/>
        </w:rPr>
        <w:t>本年无公务接待预算支出。</w:t>
      </w:r>
    </w:p>
    <w:p w14:paraId="4285304D">
      <w:pPr>
        <w:pStyle w:val="2"/>
        <w:bidi w:val="0"/>
        <w:rPr>
          <w:rFonts w:hint="default" w:ascii="Times New Roman" w:hAnsi="Times New Roman" w:cs="Times New Roman"/>
          <w:lang w:eastAsia="zh-CN"/>
        </w:rPr>
      </w:pPr>
      <w:r>
        <w:rPr>
          <w:rFonts w:hint="default" w:ascii="Times New Roman" w:hAnsi="Times New Roman" w:cs="Times New Roman"/>
          <w:lang w:val="en-US" w:eastAsia="zh-CN"/>
        </w:rPr>
        <w:t>八、</w:t>
      </w:r>
      <w:r>
        <w:rPr>
          <w:rFonts w:hint="default" w:ascii="Times New Roman" w:hAnsi="Times New Roman" w:cs="Times New Roman"/>
          <w:lang w:eastAsia="zh-CN"/>
        </w:rPr>
        <w:t>政府性基金预算支出预算情况说明</w:t>
      </w:r>
    </w:p>
    <w:p w14:paraId="34B2839B">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年政府性基金支出预算支出</w:t>
      </w:r>
      <w:r>
        <w:rPr>
          <w:rFonts w:hint="default" w:ascii="Times New Roman" w:hAnsi="Times New Roman" w:cs="Times New Roman"/>
          <w:lang w:val="en-US" w:eastAsia="zh-CN"/>
        </w:rPr>
        <w:t>0</w:t>
      </w:r>
      <w:r>
        <w:rPr>
          <w:rFonts w:hint="default" w:ascii="Times New Roman" w:hAnsi="Times New Roman" w:cs="Times New Roman"/>
        </w:rPr>
        <w:t>万元。与上年相比增加</w:t>
      </w:r>
      <w:r>
        <w:rPr>
          <w:rFonts w:hint="default" w:ascii="Times New Roman" w:hAnsi="Times New Roman" w:cs="Times New Roman"/>
          <w:lang w:val="en-US" w:eastAsia="zh-CN"/>
        </w:rPr>
        <w:t>0</w:t>
      </w:r>
      <w:r>
        <w:rPr>
          <w:rFonts w:hint="default" w:ascii="Times New Roman" w:hAnsi="Times New Roman" w:cs="Times New Roman"/>
        </w:rPr>
        <w:t>万元，</w:t>
      </w:r>
      <w:r>
        <w:rPr>
          <w:rFonts w:hint="default" w:ascii="Times New Roman" w:hAnsi="Times New Roman" w:cs="Times New Roman"/>
          <w:lang w:eastAsia="zh-CN"/>
        </w:rPr>
        <w:t>增长</w:t>
      </w:r>
      <w:r>
        <w:rPr>
          <w:rFonts w:hint="default" w:ascii="Times New Roman" w:hAnsi="Times New Roman" w:cs="Times New Roman"/>
          <w:lang w:val="en-US" w:eastAsia="zh-CN"/>
        </w:rPr>
        <w:t>0</w:t>
      </w:r>
      <w:r>
        <w:rPr>
          <w:rFonts w:hint="default" w:ascii="Times New Roman" w:hAnsi="Times New Roman" w:cs="Times New Roman"/>
          <w:lang w:eastAsia="zh-CN"/>
        </w:rPr>
        <w:t>%</w:t>
      </w:r>
      <w:r>
        <w:rPr>
          <w:rFonts w:hint="default" w:ascii="Times New Roman" w:hAnsi="Times New Roman" w:cs="Times New Roman"/>
        </w:rPr>
        <w:t>。主要原因</w:t>
      </w:r>
      <w:r>
        <w:rPr>
          <w:rFonts w:hint="default" w:ascii="Times New Roman" w:hAnsi="Times New Roman" w:cs="Times New Roman"/>
          <w:lang w:eastAsia="zh-CN"/>
        </w:rPr>
        <w:t>年无政府性基金预算支出。</w:t>
      </w:r>
    </w:p>
    <w:p w14:paraId="0D412693">
      <w:pPr>
        <w:pStyle w:val="2"/>
        <w:bidi w:val="0"/>
        <w:rPr>
          <w:rFonts w:hint="default" w:ascii="Times New Roman" w:hAnsi="Times New Roman" w:cs="Times New Roman"/>
          <w:lang w:val="en-US" w:eastAsia="zh-CN"/>
        </w:rPr>
      </w:pPr>
      <w:r>
        <w:rPr>
          <w:rFonts w:hint="default" w:ascii="Times New Roman" w:hAnsi="Times New Roman" w:cs="Times New Roman"/>
          <w:lang w:val="en-US" w:eastAsia="zh-CN"/>
        </w:rPr>
        <w:t>九、国有资本经营预算支出预算情况说明</w:t>
      </w:r>
    </w:p>
    <w:p w14:paraId="23D56680">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年国有资本经营预算拨款</w:t>
      </w:r>
      <w:r>
        <w:rPr>
          <w:rFonts w:hint="default" w:ascii="Times New Roman" w:hAnsi="Times New Roman" w:cs="Times New Roman"/>
          <w:lang w:val="en-US" w:eastAsia="zh-CN"/>
        </w:rPr>
        <w:t>0</w:t>
      </w:r>
      <w:r>
        <w:rPr>
          <w:rFonts w:hint="default" w:ascii="Times New Roman" w:hAnsi="Times New Roman" w:cs="Times New Roman"/>
        </w:rPr>
        <w:t>元，</w:t>
      </w:r>
      <w:r>
        <w:rPr>
          <w:rFonts w:hint="default" w:ascii="Times New Roman" w:hAnsi="Times New Roman" w:cs="Times New Roman"/>
          <w:lang w:eastAsia="zh-CN"/>
        </w:rPr>
        <w:t>与上年比较</w:t>
      </w:r>
      <w:r>
        <w:rPr>
          <w:rFonts w:hint="default" w:ascii="Times New Roman" w:hAnsi="Times New Roman" w:cs="Times New Roman"/>
          <w:lang w:val="en-US" w:eastAsia="zh-CN"/>
        </w:rPr>
        <w:t>,</w:t>
      </w:r>
      <w:r>
        <w:rPr>
          <w:rFonts w:hint="default" w:ascii="Times New Roman" w:hAnsi="Times New Roman" w:cs="Times New Roman"/>
          <w:lang w:eastAsia="zh-CN"/>
        </w:rPr>
        <w:t>增加</w:t>
      </w:r>
      <w:r>
        <w:rPr>
          <w:rFonts w:hint="default" w:ascii="Times New Roman" w:hAnsi="Times New Roman" w:cs="Times New Roman"/>
          <w:lang w:val="en-US" w:eastAsia="zh-CN"/>
        </w:rPr>
        <w:t>0万元，增长了0%。主要原因是我单位无国有资本经营预算拨款预算，无此项支出。</w:t>
      </w:r>
    </w:p>
    <w:p w14:paraId="5421FD84">
      <w:pPr>
        <w:pStyle w:val="2"/>
        <w:bidi w:val="0"/>
        <w:rPr>
          <w:rFonts w:hint="default" w:ascii="Times New Roman" w:hAnsi="Times New Roman" w:cs="Times New Roman"/>
          <w:lang w:val="en-US" w:eastAsia="zh-CN"/>
        </w:rPr>
      </w:pPr>
      <w:r>
        <w:rPr>
          <w:rFonts w:hint="default" w:ascii="Times New Roman" w:hAnsi="Times New Roman" w:cs="Times New Roman"/>
          <w:lang w:val="en-US" w:eastAsia="zh-CN"/>
        </w:rPr>
        <w:t>十、项目支出预算情况说明</w:t>
      </w:r>
    </w:p>
    <w:p w14:paraId="27B2E310">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年预算安排项目</w:t>
      </w:r>
      <w:r>
        <w:rPr>
          <w:rFonts w:hint="default" w:ascii="Times New Roman" w:hAnsi="Times New Roman" w:cs="Times New Roman"/>
          <w:lang w:val="en-US" w:eastAsia="zh-CN"/>
        </w:rPr>
        <w:t>2</w:t>
      </w:r>
      <w:r>
        <w:rPr>
          <w:rFonts w:hint="default" w:ascii="Times New Roman" w:hAnsi="Times New Roman" w:cs="Times New Roman"/>
        </w:rPr>
        <w:t>个，项目预算总金额</w:t>
      </w:r>
      <w:r>
        <w:rPr>
          <w:rFonts w:hint="default" w:ascii="Times New Roman" w:hAnsi="Times New Roman" w:cs="Times New Roman"/>
          <w:lang w:val="en-US" w:eastAsia="zh-CN"/>
        </w:rPr>
        <w:t>135</w:t>
      </w:r>
      <w:r>
        <w:rPr>
          <w:rFonts w:hint="default" w:ascii="Times New Roman" w:hAnsi="Times New Roman" w:cs="Times New Roman"/>
        </w:rPr>
        <w:t>万元。其中，财政本年拨款金额</w:t>
      </w:r>
      <w:r>
        <w:rPr>
          <w:rFonts w:hint="default" w:ascii="Times New Roman" w:hAnsi="Times New Roman" w:cs="Times New Roman"/>
          <w:lang w:val="en-US" w:eastAsia="zh-CN"/>
        </w:rPr>
        <w:t>135</w:t>
      </w:r>
      <w:r>
        <w:rPr>
          <w:rFonts w:hint="default" w:ascii="Times New Roman" w:hAnsi="Times New Roman" w:cs="Times New Roman"/>
        </w:rPr>
        <w:t>万元，财政拨款结转结余</w:t>
      </w:r>
      <w:r>
        <w:rPr>
          <w:rFonts w:hint="default" w:ascii="Times New Roman" w:hAnsi="Times New Roman" w:cs="Times New Roman"/>
          <w:lang w:val="en-US" w:eastAsia="zh-CN"/>
        </w:rPr>
        <w:t>0</w:t>
      </w:r>
      <w:r>
        <w:rPr>
          <w:rFonts w:hint="default" w:ascii="Times New Roman" w:hAnsi="Times New Roman" w:cs="Times New Roman"/>
        </w:rPr>
        <w:t>万元，财政专户管理资金</w:t>
      </w:r>
      <w:r>
        <w:rPr>
          <w:rFonts w:hint="default" w:ascii="Times New Roman" w:hAnsi="Times New Roman" w:cs="Times New Roman"/>
          <w:lang w:val="en-US" w:eastAsia="zh-CN"/>
        </w:rPr>
        <w:t>0</w:t>
      </w:r>
      <w:r>
        <w:rPr>
          <w:rFonts w:hint="default" w:ascii="Times New Roman" w:hAnsi="Times New Roman" w:cs="Times New Roman"/>
        </w:rPr>
        <w:t>万元，单位资金</w:t>
      </w:r>
      <w:r>
        <w:rPr>
          <w:rFonts w:hint="default" w:ascii="Times New Roman" w:hAnsi="Times New Roman" w:cs="Times New Roman"/>
          <w:lang w:val="en-US" w:eastAsia="zh-CN"/>
        </w:rPr>
        <w:t>0</w:t>
      </w:r>
      <w:r>
        <w:rPr>
          <w:rFonts w:hint="default" w:ascii="Times New Roman" w:hAnsi="Times New Roman" w:cs="Times New Roman"/>
        </w:rPr>
        <w:t>万元。</w:t>
      </w:r>
    </w:p>
    <w:p w14:paraId="7CFC4D77">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b/>
          <w:bCs/>
          <w:color w:val="auto"/>
          <w:kern w:val="0"/>
          <w:sz w:val="36"/>
          <w:szCs w:val="32"/>
          <w:lang w:bidi="ar"/>
        </w:rPr>
      </w:pPr>
    </w:p>
    <w:p w14:paraId="7C77CCC3">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color w:val="auto"/>
          <w:sz w:val="36"/>
          <w:szCs w:val="32"/>
        </w:rPr>
      </w:pPr>
      <w:r>
        <w:rPr>
          <w:rFonts w:hint="default" w:ascii="Times New Roman" w:hAnsi="Times New Roman" w:eastAsia="仿宋_GB2312" w:cs="Times New Roman"/>
          <w:b/>
          <w:bCs/>
          <w:color w:val="auto"/>
          <w:kern w:val="0"/>
          <w:sz w:val="36"/>
          <w:szCs w:val="32"/>
          <w:lang w:bidi="ar"/>
        </w:rPr>
        <w:t>第三部分 其他公开事项说明</w:t>
      </w:r>
    </w:p>
    <w:p w14:paraId="334D5DBE">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b/>
          <w:bCs/>
          <w:color w:val="auto"/>
          <w:kern w:val="0"/>
          <w:sz w:val="32"/>
          <w:szCs w:val="32"/>
          <w:lang w:bidi="ar"/>
        </w:rPr>
      </w:pPr>
    </w:p>
    <w:p w14:paraId="30AD52E1">
      <w:pPr>
        <w:pStyle w:val="2"/>
        <w:bidi w:val="0"/>
        <w:rPr>
          <w:rFonts w:hint="default" w:ascii="Times New Roman" w:hAnsi="Times New Roman" w:cs="Times New Roman"/>
          <w:lang w:eastAsia="zh-CN"/>
        </w:rPr>
      </w:pPr>
      <w:r>
        <w:rPr>
          <w:rFonts w:hint="default" w:ascii="Times New Roman" w:hAnsi="Times New Roman" w:cs="Times New Roman"/>
        </w:rPr>
        <w:t>一、机关运行经费安排情况说明</w:t>
      </w:r>
    </w:p>
    <w:p w14:paraId="7E446E79">
      <w:pPr>
        <w:bidi w:val="0"/>
        <w:rPr>
          <w:rFonts w:hint="default" w:ascii="Times New Roman" w:hAnsi="Times New Roman" w:cs="Times New Roman"/>
        </w:rPr>
      </w:pPr>
      <w:r>
        <w:rPr>
          <w:rFonts w:hint="default" w:ascii="Times New Roman" w:hAnsi="Times New Roman" w:cs="Times New Roman"/>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p>
    <w:p w14:paraId="5A1E035D">
      <w:pPr>
        <w:bidi w:val="0"/>
        <w:rPr>
          <w:rFonts w:hint="default" w:ascii="Times New Roman" w:hAnsi="Times New Roman" w:cs="Times New Roman"/>
          <w:lang w:eastAsia="zh-CN"/>
        </w:rPr>
      </w:pPr>
      <w:r>
        <w:rPr>
          <w:rFonts w:hint="default" w:ascii="Times New Roman" w:hAnsi="Times New Roman" w:cs="Times New Roman"/>
        </w:rPr>
        <w:t>我单位无机关运行经费安排。</w:t>
      </w:r>
    </w:p>
    <w:p w14:paraId="17BBAB76">
      <w:pPr>
        <w:pStyle w:val="2"/>
        <w:bidi w:val="0"/>
        <w:rPr>
          <w:rFonts w:hint="default" w:ascii="Times New Roman" w:hAnsi="Times New Roman" w:cs="Times New Roman"/>
        </w:rPr>
      </w:pPr>
      <w:r>
        <w:rPr>
          <w:rFonts w:hint="default" w:ascii="Times New Roman" w:hAnsi="Times New Roman" w:cs="Times New Roman"/>
        </w:rPr>
        <w:t>二、事业运行经费安排情况说明</w:t>
      </w:r>
    </w:p>
    <w:p w14:paraId="48408EBD">
      <w:pPr>
        <w:bidi w:val="0"/>
        <w:rPr>
          <w:rFonts w:hint="default" w:ascii="Times New Roman" w:hAnsi="Times New Roman" w:cs="Times New Roman"/>
        </w:rPr>
      </w:pPr>
      <w:r>
        <w:rPr>
          <w:rFonts w:hint="default" w:ascii="Times New Roman" w:hAnsi="Times New Roman" w:cs="Times New Roman"/>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p>
    <w:p w14:paraId="23904196">
      <w:pPr>
        <w:bidi w:val="0"/>
        <w:rPr>
          <w:rFonts w:hint="default" w:ascii="Times New Roman" w:hAnsi="Times New Roman" w:cs="Times New Roman"/>
        </w:rPr>
      </w:pP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我单位事业运转经费财政拨款预算</w:t>
      </w:r>
      <w:r>
        <w:rPr>
          <w:rFonts w:hint="default" w:ascii="Times New Roman" w:hAnsi="Times New Roman" w:cs="Times New Roman"/>
          <w:lang w:val="en-US" w:eastAsia="zh-CN"/>
        </w:rPr>
        <w:t>75.29</w:t>
      </w:r>
      <w:r>
        <w:rPr>
          <w:rFonts w:hint="default" w:ascii="Times New Roman" w:hAnsi="Times New Roman" w:cs="Times New Roman"/>
        </w:rPr>
        <w:t>万元，其中：</w:t>
      </w:r>
    </w:p>
    <w:p w14:paraId="1F0DE0A8">
      <w:pPr>
        <w:bidi w:val="0"/>
        <w:rPr>
          <w:rFonts w:hint="default" w:ascii="Times New Roman" w:hAnsi="Times New Roman" w:cs="Times New Roman"/>
        </w:rPr>
      </w:pPr>
      <w:r>
        <w:rPr>
          <w:rFonts w:hint="default" w:ascii="Times New Roman" w:hAnsi="Times New Roman" w:cs="Times New Roman"/>
        </w:rPr>
        <w:t>302商品和服务支出类：办公费8.52万元、邮电费0.9万元、差旅费1万元、培训费19.73万元、工会经费15.78万元、公务用车运行维护费4.33万元、其他商品和服务支出25.03万元；</w:t>
      </w:r>
    </w:p>
    <w:p w14:paraId="285BC625">
      <w:pPr>
        <w:bidi w:val="0"/>
        <w:rPr>
          <w:rFonts w:hint="default" w:ascii="Times New Roman" w:hAnsi="Times New Roman" w:cs="Times New Roman"/>
        </w:rPr>
      </w:pP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事业运行经费比上年</w:t>
      </w:r>
      <w:r>
        <w:rPr>
          <w:rFonts w:hint="default" w:ascii="Times New Roman" w:hAnsi="Times New Roman" w:cs="Times New Roman"/>
          <w:lang w:val="en-US" w:eastAsia="zh-CN"/>
        </w:rPr>
        <w:t>0.44</w:t>
      </w:r>
      <w:r>
        <w:rPr>
          <w:rFonts w:hint="default" w:ascii="Times New Roman" w:hAnsi="Times New Roman" w:cs="Times New Roman"/>
        </w:rPr>
        <w:t>万元，下降</w:t>
      </w:r>
      <w:r>
        <w:rPr>
          <w:rFonts w:hint="default" w:ascii="Times New Roman" w:hAnsi="Times New Roman" w:cs="Times New Roman"/>
          <w:lang w:val="en-US" w:eastAsia="zh-CN"/>
        </w:rPr>
        <w:t>0.58</w:t>
      </w:r>
      <w:r>
        <w:rPr>
          <w:rFonts w:hint="default" w:ascii="Times New Roman" w:hAnsi="Times New Roman" w:cs="Times New Roman"/>
        </w:rPr>
        <w:t>%，下降主要原因是退休人员增加。</w:t>
      </w:r>
    </w:p>
    <w:p w14:paraId="179D1AFA">
      <w:pPr>
        <w:pStyle w:val="2"/>
        <w:bidi w:val="0"/>
        <w:rPr>
          <w:rFonts w:hint="default" w:ascii="Times New Roman" w:hAnsi="Times New Roman" w:cs="Times New Roman"/>
        </w:rPr>
      </w:pPr>
      <w:r>
        <w:rPr>
          <w:rFonts w:hint="default" w:ascii="Times New Roman" w:hAnsi="Times New Roman" w:cs="Times New Roman"/>
        </w:rPr>
        <w:t>三、政府采购支出预算情况说明</w:t>
      </w:r>
    </w:p>
    <w:p w14:paraId="435A1AE0">
      <w:pPr>
        <w:bidi w:val="0"/>
        <w:rPr>
          <w:rFonts w:hint="default" w:ascii="Times New Roman" w:hAnsi="Times New Roman" w:cs="Times New Roman"/>
        </w:rPr>
      </w:pPr>
      <w:r>
        <w:rPr>
          <w:rFonts w:hint="default" w:ascii="Times New Roman" w:hAnsi="Times New Roman" w:cs="Times New Roman"/>
          <w:lang w:val="en-US" w:eastAsia="zh-CN"/>
        </w:rPr>
        <w:t>2026</w:t>
      </w:r>
      <w:r>
        <w:rPr>
          <w:rFonts w:hint="default" w:ascii="Times New Roman" w:hAnsi="Times New Roman" w:cs="Times New Roman"/>
          <w:lang w:eastAsia="zh-CN"/>
        </w:rPr>
        <w:t>年</w:t>
      </w:r>
      <w:r>
        <w:rPr>
          <w:rFonts w:hint="default" w:ascii="Times New Roman" w:hAnsi="Times New Roman" w:cs="Times New Roman"/>
        </w:rPr>
        <w:t>政府采购预算</w:t>
      </w:r>
      <w:r>
        <w:rPr>
          <w:rFonts w:hint="default" w:ascii="Times New Roman" w:hAnsi="Times New Roman" w:cs="Times New Roman"/>
          <w:lang w:val="en-US" w:eastAsia="zh-CN"/>
        </w:rPr>
        <w:t>0</w:t>
      </w:r>
      <w:r>
        <w:rPr>
          <w:rFonts w:hint="default" w:ascii="Times New Roman" w:hAnsi="Times New Roman" w:cs="Times New Roman"/>
        </w:rPr>
        <w:t>万元，较上年</w:t>
      </w:r>
      <w:r>
        <w:rPr>
          <w:rFonts w:hint="default" w:ascii="Times New Roman" w:hAnsi="Times New Roman" w:cs="Times New Roman"/>
          <w:lang w:val="en-US" w:eastAsia="zh-CN"/>
        </w:rPr>
        <w:t>减少2.65</w:t>
      </w:r>
      <w:r>
        <w:rPr>
          <w:rFonts w:hint="default" w:ascii="Times New Roman" w:hAnsi="Times New Roman" w:cs="Times New Roman"/>
        </w:rPr>
        <w:t>万元，增长</w:t>
      </w:r>
      <w:r>
        <w:rPr>
          <w:rFonts w:hint="default" w:ascii="Times New Roman" w:hAnsi="Times New Roman" w:cs="Times New Roman"/>
          <w:lang w:val="en-US" w:eastAsia="zh-CN"/>
        </w:rPr>
        <w:t>100</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rPr>
        <w:t>资金来源为财政拨款，其中：</w:t>
      </w:r>
    </w:p>
    <w:p w14:paraId="71BAE052">
      <w:pPr>
        <w:bidi w:val="0"/>
        <w:rPr>
          <w:rFonts w:hint="default" w:ascii="Times New Roman" w:hAnsi="Times New Roman" w:cs="Times New Roman"/>
        </w:rPr>
      </w:pPr>
      <w:r>
        <w:rPr>
          <w:rFonts w:hint="default" w:ascii="Times New Roman" w:hAnsi="Times New Roman" w:cs="Times New Roman"/>
        </w:rPr>
        <w:t>1.货物类预算</w:t>
      </w:r>
      <w:r>
        <w:rPr>
          <w:rFonts w:hint="default" w:ascii="Times New Roman" w:hAnsi="Times New Roman" w:cs="Times New Roman"/>
          <w:lang w:val="en-US" w:eastAsia="zh-CN"/>
        </w:rPr>
        <w:t>0</w:t>
      </w:r>
      <w:r>
        <w:rPr>
          <w:rFonts w:hint="default" w:ascii="Times New Roman" w:hAnsi="Times New Roman" w:cs="Times New Roman"/>
        </w:rPr>
        <w:t>万元，占比</w:t>
      </w:r>
      <w:r>
        <w:rPr>
          <w:rFonts w:hint="default" w:ascii="Times New Roman" w:hAnsi="Times New Roman" w:cs="Times New Roman"/>
          <w:lang w:val="en-US" w:eastAsia="zh-CN"/>
        </w:rPr>
        <w:t>0</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rPr>
        <w:t>较上年</w:t>
      </w:r>
      <w:r>
        <w:rPr>
          <w:rFonts w:hint="default" w:ascii="Times New Roman" w:hAnsi="Times New Roman" w:cs="Times New Roman"/>
          <w:lang w:val="en-US" w:eastAsia="zh-CN"/>
        </w:rPr>
        <w:t>减少2.65</w:t>
      </w:r>
      <w:r>
        <w:rPr>
          <w:rFonts w:hint="default" w:ascii="Times New Roman" w:hAnsi="Times New Roman" w:cs="Times New Roman"/>
        </w:rPr>
        <w:t>万元，下降</w:t>
      </w:r>
      <w:r>
        <w:rPr>
          <w:rFonts w:hint="default" w:ascii="Times New Roman" w:hAnsi="Times New Roman" w:cs="Times New Roman"/>
          <w:lang w:val="en-US" w:eastAsia="zh-CN"/>
        </w:rPr>
        <w:t>100</w:t>
      </w:r>
      <w:r>
        <w:rPr>
          <w:rFonts w:hint="default" w:ascii="Times New Roman" w:hAnsi="Times New Roman" w:cs="Times New Roman"/>
        </w:rPr>
        <w:t>%，</w:t>
      </w:r>
      <w:r>
        <w:rPr>
          <w:rFonts w:hint="default" w:ascii="Times New Roman" w:hAnsi="Times New Roman" w:cs="Times New Roman"/>
          <w:lang w:val="en-US" w:eastAsia="zh-CN"/>
        </w:rPr>
        <w:t>减少</w:t>
      </w:r>
      <w:r>
        <w:rPr>
          <w:rFonts w:hint="default" w:ascii="Times New Roman" w:hAnsi="Times New Roman" w:cs="Times New Roman"/>
        </w:rPr>
        <w:t>原因是</w:t>
      </w:r>
      <w:r>
        <w:rPr>
          <w:rFonts w:hint="default" w:ascii="Times New Roman" w:hAnsi="Times New Roman" w:cs="Times New Roman"/>
          <w:lang w:eastAsia="zh-CN"/>
        </w:rPr>
        <w:t>本年计划无政府采购项目</w:t>
      </w:r>
      <w:r>
        <w:rPr>
          <w:rFonts w:hint="default" w:ascii="Times New Roman" w:hAnsi="Times New Roman" w:cs="Times New Roman"/>
        </w:rPr>
        <w:t>。</w:t>
      </w:r>
    </w:p>
    <w:p w14:paraId="31B026B6">
      <w:pPr>
        <w:bidi w:val="0"/>
        <w:rPr>
          <w:rFonts w:hint="default" w:ascii="Times New Roman" w:hAnsi="Times New Roman" w:cs="Times New Roman"/>
        </w:rPr>
      </w:pPr>
      <w:r>
        <w:rPr>
          <w:rFonts w:hint="default" w:ascii="Times New Roman" w:hAnsi="Times New Roman" w:cs="Times New Roman"/>
        </w:rPr>
        <w:t>2.工程类预算</w:t>
      </w:r>
      <w:r>
        <w:rPr>
          <w:rFonts w:hint="default" w:ascii="Times New Roman" w:hAnsi="Times New Roman" w:cs="Times New Roman"/>
          <w:lang w:val="en-US" w:eastAsia="zh-CN"/>
        </w:rPr>
        <w:t>0</w:t>
      </w:r>
      <w:r>
        <w:rPr>
          <w:rFonts w:hint="default" w:ascii="Times New Roman" w:hAnsi="Times New Roman" w:cs="Times New Roman"/>
        </w:rPr>
        <w:t>万元，占比</w:t>
      </w:r>
      <w:r>
        <w:rPr>
          <w:rFonts w:hint="default" w:ascii="Times New Roman" w:hAnsi="Times New Roman" w:cs="Times New Roman"/>
          <w:lang w:val="en-US" w:eastAsia="zh-CN"/>
        </w:rPr>
        <w:t>0</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rPr>
        <w:t>较上年增加</w:t>
      </w:r>
      <w:r>
        <w:rPr>
          <w:rFonts w:hint="default" w:ascii="Times New Roman" w:hAnsi="Times New Roman" w:cs="Times New Roman"/>
          <w:lang w:val="en-US" w:eastAsia="zh-CN"/>
        </w:rPr>
        <w:t>0</w:t>
      </w:r>
      <w:r>
        <w:rPr>
          <w:rFonts w:hint="default" w:ascii="Times New Roman" w:hAnsi="Times New Roman" w:cs="Times New Roman"/>
        </w:rPr>
        <w:t>万元，增长</w:t>
      </w:r>
      <w:r>
        <w:rPr>
          <w:rFonts w:hint="default" w:ascii="Times New Roman" w:hAnsi="Times New Roman" w:cs="Times New Roman"/>
          <w:lang w:val="en-US" w:eastAsia="zh-CN"/>
        </w:rPr>
        <w:t>0</w:t>
      </w:r>
      <w:r>
        <w:rPr>
          <w:rFonts w:hint="default" w:ascii="Times New Roman" w:hAnsi="Times New Roman" w:cs="Times New Roman"/>
        </w:rPr>
        <w:t>%，增加原因是</w:t>
      </w:r>
      <w:r>
        <w:rPr>
          <w:rFonts w:hint="default" w:ascii="Times New Roman" w:hAnsi="Times New Roman" w:cs="Times New Roman"/>
          <w:lang w:eastAsia="zh-CN"/>
        </w:rPr>
        <w:t>不涉及该项预算</w:t>
      </w:r>
      <w:r>
        <w:rPr>
          <w:rFonts w:hint="default" w:ascii="Times New Roman" w:hAnsi="Times New Roman" w:cs="Times New Roman"/>
        </w:rPr>
        <w:t>。</w:t>
      </w:r>
    </w:p>
    <w:p w14:paraId="0E4FEB05">
      <w:pPr>
        <w:bidi w:val="0"/>
        <w:rPr>
          <w:rFonts w:hint="default" w:ascii="Times New Roman" w:hAnsi="Times New Roman" w:cs="Times New Roman"/>
          <w:lang w:eastAsia="zh-CN"/>
        </w:rPr>
      </w:pPr>
      <w:r>
        <w:rPr>
          <w:rFonts w:hint="default" w:ascii="Times New Roman" w:hAnsi="Times New Roman" w:cs="Times New Roman"/>
        </w:rPr>
        <w:t>3.服务类预算</w:t>
      </w:r>
      <w:r>
        <w:rPr>
          <w:rFonts w:hint="default" w:ascii="Times New Roman" w:hAnsi="Times New Roman" w:cs="Times New Roman"/>
          <w:lang w:val="en-US" w:eastAsia="zh-CN"/>
        </w:rPr>
        <w:t>0</w:t>
      </w:r>
      <w:r>
        <w:rPr>
          <w:rFonts w:hint="default" w:ascii="Times New Roman" w:hAnsi="Times New Roman" w:cs="Times New Roman"/>
        </w:rPr>
        <w:t>万元，占比</w:t>
      </w:r>
      <w:r>
        <w:rPr>
          <w:rFonts w:hint="default" w:ascii="Times New Roman" w:hAnsi="Times New Roman" w:cs="Times New Roman"/>
          <w:lang w:val="en-US" w:eastAsia="zh-CN"/>
        </w:rPr>
        <w:t>0</w:t>
      </w:r>
      <w:r>
        <w:rPr>
          <w:rFonts w:hint="default" w:ascii="Times New Roman" w:hAnsi="Times New Roman" w:cs="Times New Roman"/>
        </w:rPr>
        <w:t>%，较上年增加</w:t>
      </w:r>
      <w:r>
        <w:rPr>
          <w:rFonts w:hint="default" w:ascii="Times New Roman" w:hAnsi="Times New Roman" w:cs="Times New Roman"/>
          <w:lang w:val="en-US" w:eastAsia="zh-CN"/>
        </w:rPr>
        <w:t>0</w:t>
      </w:r>
      <w:r>
        <w:rPr>
          <w:rFonts w:hint="default" w:ascii="Times New Roman" w:hAnsi="Times New Roman" w:cs="Times New Roman"/>
        </w:rPr>
        <w:t>万元，增长</w:t>
      </w:r>
      <w:r>
        <w:rPr>
          <w:rFonts w:hint="default" w:ascii="Times New Roman" w:hAnsi="Times New Roman" w:cs="Times New Roman"/>
          <w:lang w:val="en-US" w:eastAsia="zh-CN"/>
        </w:rPr>
        <w:t>0</w:t>
      </w:r>
      <w:r>
        <w:rPr>
          <w:rFonts w:hint="default" w:ascii="Times New Roman" w:hAnsi="Times New Roman" w:cs="Times New Roman"/>
        </w:rPr>
        <w:t>%，增加原因是</w:t>
      </w:r>
      <w:r>
        <w:rPr>
          <w:rFonts w:hint="default" w:ascii="Times New Roman" w:hAnsi="Times New Roman" w:cs="Times New Roman"/>
          <w:lang w:eastAsia="zh-CN"/>
        </w:rPr>
        <w:t>不涉及该项预算</w:t>
      </w:r>
      <w:r>
        <w:rPr>
          <w:rFonts w:hint="default" w:ascii="Times New Roman" w:hAnsi="Times New Roman" w:cs="Times New Roman"/>
        </w:rPr>
        <w:t>。</w:t>
      </w:r>
    </w:p>
    <w:p w14:paraId="5C6BBBDE">
      <w:pPr>
        <w:bidi w:val="0"/>
        <w:rPr>
          <w:rFonts w:hint="default" w:ascii="Times New Roman" w:hAnsi="Times New Roman" w:cs="Times New Roman"/>
        </w:rPr>
      </w:pPr>
      <w:r>
        <w:rPr>
          <w:rFonts w:hint="default" w:ascii="Times New Roman" w:hAnsi="Times New Roman" w:cs="Times New Roman"/>
        </w:rPr>
        <w:t>我单位无</w:t>
      </w:r>
      <w:r>
        <w:rPr>
          <w:rFonts w:hint="default" w:ascii="Times New Roman" w:hAnsi="Times New Roman" w:cs="Times New Roman"/>
          <w:lang w:eastAsia="zh-CN"/>
        </w:rPr>
        <w:t>政府采购</w:t>
      </w:r>
      <w:r>
        <w:rPr>
          <w:rFonts w:hint="default" w:ascii="Times New Roman" w:hAnsi="Times New Roman" w:cs="Times New Roman"/>
        </w:rPr>
        <w:t>财政拨款预算，无此项支出。</w:t>
      </w:r>
    </w:p>
    <w:p w14:paraId="3402B50B">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bCs/>
          <w:color w:val="auto"/>
          <w:kern w:val="0"/>
          <w:sz w:val="32"/>
          <w:szCs w:val="32"/>
          <w:lang w:bidi="ar"/>
        </w:rPr>
        <w:t>四、国有资产占有使用情况说明</w:t>
      </w:r>
    </w:p>
    <w:p w14:paraId="043A1AEA">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kern w:val="0"/>
          <w:sz w:val="32"/>
          <w:szCs w:val="32"/>
          <w:lang w:bidi="ar"/>
        </w:rPr>
        <w:t>1.</w:t>
      </w:r>
      <w:r>
        <w:rPr>
          <w:rFonts w:hint="default" w:ascii="Times New Roman" w:hAnsi="Times New Roman" w:eastAsia="仿宋_GB2312" w:cs="Times New Roman"/>
          <w:b/>
          <w:bCs/>
          <w:color w:val="auto"/>
          <w:kern w:val="0"/>
          <w:sz w:val="32"/>
          <w:szCs w:val="32"/>
          <w:lang w:val="en-US" w:eastAsia="zh-CN" w:bidi="ar"/>
        </w:rPr>
        <w:t>2026</w:t>
      </w:r>
      <w:r>
        <w:rPr>
          <w:rFonts w:hint="default" w:ascii="Times New Roman" w:hAnsi="Times New Roman" w:eastAsia="仿宋_GB2312" w:cs="Times New Roman"/>
          <w:b/>
          <w:bCs/>
          <w:color w:val="auto"/>
          <w:kern w:val="0"/>
          <w:sz w:val="32"/>
          <w:szCs w:val="32"/>
          <w:lang w:eastAsia="zh-CN" w:bidi="ar"/>
        </w:rPr>
        <w:t>年</w:t>
      </w:r>
      <w:r>
        <w:rPr>
          <w:rFonts w:hint="default" w:ascii="Times New Roman" w:hAnsi="Times New Roman" w:eastAsia="仿宋_GB2312" w:cs="Times New Roman"/>
          <w:b/>
          <w:bCs/>
          <w:color w:val="auto"/>
          <w:kern w:val="0"/>
          <w:sz w:val="32"/>
          <w:szCs w:val="32"/>
          <w:lang w:bidi="ar"/>
        </w:rPr>
        <w:t>公务用车及大型设备情况</w:t>
      </w:r>
      <w:r>
        <w:rPr>
          <w:rFonts w:hint="default" w:ascii="Times New Roman" w:hAnsi="Times New Roman" w:eastAsia="仿宋_GB2312" w:cs="Times New Roman"/>
          <w:b/>
          <w:bCs/>
          <w:color w:val="auto"/>
          <w:kern w:val="0"/>
          <w:sz w:val="32"/>
          <w:szCs w:val="32"/>
          <w:lang w:eastAsia="zh-CN" w:bidi="ar"/>
        </w:rPr>
        <w:t>。</w:t>
      </w:r>
    </w:p>
    <w:p w14:paraId="7841697E">
      <w:pPr>
        <w:bidi w:val="0"/>
        <w:rPr>
          <w:rFonts w:hint="default" w:ascii="Times New Roman" w:hAnsi="Times New Roman" w:cs="Times New Roman"/>
        </w:rPr>
      </w:pPr>
      <w:r>
        <w:rPr>
          <w:rFonts w:hint="default" w:ascii="Times New Roman" w:hAnsi="Times New Roman" w:cs="Times New Roman"/>
        </w:rPr>
        <w:t>截至</w:t>
      </w:r>
      <w:r>
        <w:rPr>
          <w:rFonts w:hint="default" w:ascii="Times New Roman" w:hAnsi="Times New Roman" w:cs="Times New Roman"/>
          <w:lang w:val="en-US" w:eastAsia="zh-CN"/>
        </w:rPr>
        <w:t>2025</w:t>
      </w:r>
      <w:r>
        <w:rPr>
          <w:rFonts w:hint="default" w:ascii="Times New Roman" w:hAnsi="Times New Roman" w:cs="Times New Roman"/>
        </w:rPr>
        <w:t>年末，共有车辆</w:t>
      </w:r>
      <w:r>
        <w:rPr>
          <w:rFonts w:hint="default" w:ascii="Times New Roman" w:hAnsi="Times New Roman" w:cs="Times New Roman"/>
          <w:lang w:val="en-US" w:eastAsia="zh-CN"/>
        </w:rPr>
        <w:t>3</w:t>
      </w:r>
      <w:r>
        <w:rPr>
          <w:rFonts w:hint="default" w:ascii="Times New Roman" w:hAnsi="Times New Roman" w:cs="Times New Roman"/>
        </w:rPr>
        <w:t>辆，其中业务用车</w:t>
      </w:r>
      <w:r>
        <w:rPr>
          <w:rFonts w:hint="default" w:ascii="Times New Roman" w:hAnsi="Times New Roman" w:cs="Times New Roman"/>
          <w:lang w:val="en-US" w:eastAsia="zh-CN"/>
        </w:rPr>
        <w:t>3</w:t>
      </w:r>
      <w:r>
        <w:rPr>
          <w:rFonts w:hint="default" w:ascii="Times New Roman" w:hAnsi="Times New Roman" w:cs="Times New Roman"/>
        </w:rPr>
        <w:t>辆</w:t>
      </w:r>
      <w:r>
        <w:rPr>
          <w:rFonts w:hint="default" w:ascii="Times New Roman" w:hAnsi="Times New Roman" w:cs="Times New Roman"/>
          <w:lang w:eastAsia="zh-CN"/>
        </w:rPr>
        <w:t>主要用于培训、教研教学</w:t>
      </w:r>
      <w:r>
        <w:rPr>
          <w:rFonts w:hint="default" w:ascii="Times New Roman" w:hAnsi="Times New Roman" w:cs="Times New Roman"/>
        </w:rPr>
        <w:t>。</w:t>
      </w:r>
    </w:p>
    <w:p w14:paraId="05C1857D">
      <w:pPr>
        <w:bidi w:val="0"/>
        <w:rPr>
          <w:rFonts w:hint="default" w:ascii="Times New Roman" w:hAnsi="Times New Roman" w:cs="Times New Roman"/>
          <w:lang w:val="en-US" w:eastAsia="zh-CN"/>
        </w:rPr>
      </w:pPr>
      <w:r>
        <w:rPr>
          <w:rFonts w:hint="default" w:ascii="Times New Roman" w:hAnsi="Times New Roman" w:cs="Times New Roman"/>
          <w:lang w:eastAsia="zh-CN"/>
        </w:rPr>
        <w:t>单价50万元（含）以上的通用设备</w:t>
      </w:r>
      <w:r>
        <w:rPr>
          <w:rFonts w:hint="default" w:ascii="Times New Roman" w:hAnsi="Times New Roman" w:cs="Times New Roman"/>
          <w:lang w:val="en-US" w:eastAsia="zh-CN"/>
        </w:rPr>
        <w:t>0</w:t>
      </w:r>
      <w:r>
        <w:rPr>
          <w:rFonts w:hint="default" w:ascii="Times New Roman" w:hAnsi="Times New Roman" w:cs="Times New Roman"/>
          <w:lang w:eastAsia="zh-CN"/>
        </w:rPr>
        <w:t>台（套），单价100万元（含）以上的专用设备</w:t>
      </w:r>
      <w:r>
        <w:rPr>
          <w:rFonts w:hint="default" w:ascii="Times New Roman" w:hAnsi="Times New Roman" w:cs="Times New Roman"/>
          <w:lang w:val="en-US" w:eastAsia="zh-CN"/>
        </w:rPr>
        <w:t>0</w:t>
      </w:r>
      <w:r>
        <w:rPr>
          <w:rFonts w:hint="default" w:ascii="Times New Roman" w:hAnsi="Times New Roman" w:cs="Times New Roman"/>
          <w:lang w:eastAsia="zh-CN"/>
        </w:rPr>
        <w:t>台（套）。</w:t>
      </w:r>
    </w:p>
    <w:p w14:paraId="25AAF601">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kern w:val="0"/>
          <w:sz w:val="32"/>
          <w:szCs w:val="32"/>
          <w:lang w:bidi="ar"/>
        </w:rPr>
        <w:t>2.</w:t>
      </w:r>
      <w:r>
        <w:rPr>
          <w:rFonts w:hint="default" w:ascii="Times New Roman" w:hAnsi="Times New Roman" w:eastAsia="仿宋_GB2312" w:cs="Times New Roman"/>
          <w:b/>
          <w:bCs/>
          <w:color w:val="auto"/>
          <w:kern w:val="0"/>
          <w:sz w:val="32"/>
          <w:szCs w:val="32"/>
          <w:lang w:val="en-US" w:eastAsia="zh-CN" w:bidi="ar"/>
        </w:rPr>
        <w:t>2026</w:t>
      </w:r>
      <w:r>
        <w:rPr>
          <w:rFonts w:hint="default" w:ascii="Times New Roman" w:hAnsi="Times New Roman" w:eastAsia="仿宋_GB2312" w:cs="Times New Roman"/>
          <w:b/>
          <w:bCs/>
          <w:color w:val="auto"/>
          <w:kern w:val="0"/>
          <w:sz w:val="32"/>
          <w:szCs w:val="32"/>
          <w:lang w:eastAsia="zh-CN" w:bidi="ar"/>
        </w:rPr>
        <w:t>年</w:t>
      </w:r>
      <w:r>
        <w:rPr>
          <w:rFonts w:hint="default" w:ascii="Times New Roman" w:hAnsi="Times New Roman" w:eastAsia="仿宋_GB2312" w:cs="Times New Roman"/>
          <w:b/>
          <w:bCs/>
          <w:color w:val="auto"/>
          <w:kern w:val="0"/>
          <w:sz w:val="32"/>
          <w:szCs w:val="32"/>
          <w:lang w:bidi="ar"/>
        </w:rPr>
        <w:t>房屋建筑物情况</w:t>
      </w:r>
      <w:r>
        <w:rPr>
          <w:rFonts w:hint="default" w:ascii="Times New Roman" w:hAnsi="Times New Roman" w:eastAsia="仿宋_GB2312" w:cs="Times New Roman"/>
          <w:b/>
          <w:bCs/>
          <w:color w:val="auto"/>
          <w:kern w:val="0"/>
          <w:sz w:val="32"/>
          <w:szCs w:val="32"/>
          <w:lang w:eastAsia="zh-CN" w:bidi="ar"/>
        </w:rPr>
        <w:t>。</w:t>
      </w:r>
    </w:p>
    <w:p w14:paraId="440D80B6">
      <w:pPr>
        <w:bidi w:val="0"/>
        <w:rPr>
          <w:rFonts w:hint="default" w:ascii="Times New Roman" w:hAnsi="Times New Roman" w:cs="Times New Roman"/>
        </w:rPr>
      </w:pPr>
      <w:r>
        <w:rPr>
          <w:rFonts w:hint="default" w:ascii="Times New Roman" w:hAnsi="Times New Roman" w:cs="Times New Roman"/>
        </w:rPr>
        <w:t>房屋建筑面积</w:t>
      </w:r>
      <w:r>
        <w:rPr>
          <w:rFonts w:hint="default" w:ascii="Times New Roman" w:hAnsi="Times New Roman" w:cs="Times New Roman"/>
          <w:lang w:val="en-US" w:eastAsia="zh-CN"/>
        </w:rPr>
        <w:t>13948.58</w:t>
      </w:r>
      <w:r>
        <w:rPr>
          <w:rFonts w:hint="default" w:ascii="Times New Roman" w:hAnsi="Times New Roman" w:cs="Times New Roman"/>
        </w:rPr>
        <w:t>平方米，其中办公用房</w:t>
      </w:r>
      <w:r>
        <w:rPr>
          <w:rFonts w:hint="default" w:ascii="Times New Roman" w:hAnsi="Times New Roman" w:cs="Times New Roman"/>
          <w:lang w:val="en-US" w:eastAsia="zh-CN"/>
        </w:rPr>
        <w:t>3000</w:t>
      </w:r>
      <w:r>
        <w:rPr>
          <w:rFonts w:hint="default" w:ascii="Times New Roman" w:hAnsi="Times New Roman" w:cs="Times New Roman"/>
        </w:rPr>
        <w:t>平方米、业务用房</w:t>
      </w:r>
      <w:r>
        <w:rPr>
          <w:rFonts w:hint="default" w:ascii="Times New Roman" w:hAnsi="Times New Roman" w:cs="Times New Roman"/>
          <w:lang w:val="en-US" w:eastAsia="zh-CN"/>
        </w:rPr>
        <w:t>10948.58</w:t>
      </w:r>
      <w:r>
        <w:rPr>
          <w:rFonts w:hint="default" w:ascii="Times New Roman" w:hAnsi="Times New Roman" w:cs="Times New Roman"/>
        </w:rPr>
        <w:t>方米、其他（不含构筑物）</w:t>
      </w:r>
      <w:r>
        <w:rPr>
          <w:rFonts w:hint="default" w:ascii="Times New Roman" w:hAnsi="Times New Roman" w:cs="Times New Roman"/>
          <w:lang w:val="en-US" w:eastAsia="zh-CN"/>
        </w:rPr>
        <w:t>0</w:t>
      </w:r>
      <w:r>
        <w:rPr>
          <w:rFonts w:hint="default" w:ascii="Times New Roman" w:hAnsi="Times New Roman" w:cs="Times New Roman"/>
        </w:rPr>
        <w:t>平方米，较上年增加</w:t>
      </w:r>
      <w:r>
        <w:rPr>
          <w:rFonts w:hint="default" w:ascii="Times New Roman" w:hAnsi="Times New Roman" w:cs="Times New Roman"/>
          <w:lang w:val="en-US" w:eastAsia="zh-CN"/>
        </w:rPr>
        <w:t>0</w:t>
      </w:r>
      <w:r>
        <w:rPr>
          <w:rFonts w:hint="default" w:ascii="Times New Roman" w:hAnsi="Times New Roman" w:cs="Times New Roman"/>
        </w:rPr>
        <w:t>平方米，增加</w:t>
      </w:r>
      <w:r>
        <w:rPr>
          <w:rFonts w:hint="default" w:ascii="Times New Roman" w:hAnsi="Times New Roman" w:cs="Times New Roman"/>
          <w:lang w:val="en-US" w:eastAsia="zh-CN"/>
        </w:rPr>
        <w:t>0</w:t>
      </w:r>
      <w:r>
        <w:rPr>
          <w:rFonts w:hint="default" w:ascii="Times New Roman" w:hAnsi="Times New Roman" w:cs="Times New Roman"/>
        </w:rPr>
        <w:t>原因</w:t>
      </w:r>
      <w:r>
        <w:rPr>
          <w:rFonts w:hint="default" w:ascii="Times New Roman" w:hAnsi="Times New Roman" w:cs="Times New Roman"/>
          <w:lang w:val="en-US" w:eastAsia="zh-CN"/>
        </w:rPr>
        <w:t>房屋建筑物面积无变动</w:t>
      </w:r>
      <w:r>
        <w:rPr>
          <w:rFonts w:hint="default" w:ascii="Times New Roman" w:hAnsi="Times New Roman" w:cs="Times New Roman"/>
        </w:rPr>
        <w:t>。</w:t>
      </w:r>
    </w:p>
    <w:p w14:paraId="658301D5">
      <w:pPr>
        <w:pStyle w:val="2"/>
        <w:bidi w:val="0"/>
        <w:rPr>
          <w:rFonts w:hint="default" w:ascii="Times New Roman" w:hAnsi="Times New Roman" w:cs="Times New Roman"/>
        </w:rPr>
      </w:pPr>
      <w:r>
        <w:rPr>
          <w:rFonts w:hint="default" w:ascii="Times New Roman" w:hAnsi="Times New Roman" w:cs="Times New Roman"/>
        </w:rPr>
        <w:t>五、部门组织征收收入计划</w:t>
      </w:r>
    </w:p>
    <w:p w14:paraId="5DFEF6E4">
      <w:pPr>
        <w:bidi w:val="0"/>
        <w:rPr>
          <w:rFonts w:hint="default" w:ascii="Times New Roman" w:hAnsi="Times New Roman" w:cs="Times New Roman"/>
        </w:rPr>
      </w:pPr>
      <w:r>
        <w:rPr>
          <w:rFonts w:hint="default" w:ascii="Times New Roman" w:hAnsi="Times New Roman" w:cs="Times New Roman"/>
          <w:lang w:val="en-US" w:eastAsia="zh-CN"/>
        </w:rPr>
        <w:t>我单位无征收收入。</w:t>
      </w:r>
    </w:p>
    <w:p w14:paraId="5E504AF5">
      <w:pPr>
        <w:pStyle w:val="2"/>
        <w:bidi w:val="0"/>
        <w:rPr>
          <w:rFonts w:hint="default" w:ascii="Times New Roman" w:hAnsi="Times New Roman" w:cs="Times New Roman"/>
        </w:rPr>
      </w:pPr>
      <w:r>
        <w:rPr>
          <w:rFonts w:hint="default" w:ascii="Times New Roman" w:hAnsi="Times New Roman" w:cs="Times New Roman"/>
        </w:rPr>
        <w:t>六、绩效目标设置情况说明</w:t>
      </w:r>
    </w:p>
    <w:p w14:paraId="52ED5B33">
      <w:pPr>
        <w:bidi w:val="0"/>
        <w:rPr>
          <w:rFonts w:hint="default" w:ascii="Times New Roman" w:hAnsi="Times New Roman" w:cs="Times New Roman"/>
        </w:rPr>
      </w:pPr>
      <w:r>
        <w:rPr>
          <w:rFonts w:hint="default" w:ascii="Times New Roman" w:hAnsi="Times New Roman" w:cs="Times New Roman"/>
          <w:lang w:eastAsia="zh-CN"/>
        </w:rPr>
        <w:t>乌海市教育事业发展中心</w:t>
      </w:r>
      <w:r>
        <w:rPr>
          <w:rFonts w:hint="default" w:ascii="Times New Roman" w:hAnsi="Times New Roman" w:cs="Times New Roman"/>
          <w:lang w:val="en-US" w:eastAsia="zh-CN"/>
        </w:rPr>
        <w:t>本</w:t>
      </w:r>
      <w:r>
        <w:rPr>
          <w:rFonts w:hint="default" w:ascii="Times New Roman" w:hAnsi="Times New Roman" w:cs="Times New Roman"/>
        </w:rPr>
        <w:t>年填报绩效目标的预算项目</w:t>
      </w:r>
      <w:r>
        <w:rPr>
          <w:rFonts w:hint="default" w:ascii="Times New Roman" w:hAnsi="Times New Roman" w:cs="Times New Roman"/>
          <w:lang w:val="en-US" w:eastAsia="zh-CN"/>
        </w:rPr>
        <w:t>2</w:t>
      </w:r>
      <w:r>
        <w:rPr>
          <w:rFonts w:hint="default" w:ascii="Times New Roman" w:hAnsi="Times New Roman" w:cs="Times New Roman"/>
        </w:rPr>
        <w:t>个，公开绩效目标</w:t>
      </w:r>
      <w:r>
        <w:rPr>
          <w:rFonts w:hint="default" w:ascii="Times New Roman" w:hAnsi="Times New Roman" w:cs="Times New Roman"/>
          <w:lang w:val="en-US" w:eastAsia="zh-CN"/>
        </w:rPr>
        <w:t>2</w:t>
      </w:r>
      <w:r>
        <w:rPr>
          <w:rFonts w:hint="default" w:ascii="Times New Roman" w:hAnsi="Times New Roman" w:cs="Times New Roman"/>
        </w:rPr>
        <w:t>个，涉密不进行公开的项目</w:t>
      </w:r>
      <w:r>
        <w:rPr>
          <w:rFonts w:hint="default" w:ascii="Times New Roman" w:hAnsi="Times New Roman" w:cs="Times New Roman"/>
          <w:lang w:val="en-US" w:eastAsia="zh-CN"/>
        </w:rPr>
        <w:t>0</w:t>
      </w:r>
      <w:r>
        <w:rPr>
          <w:rFonts w:hint="default" w:ascii="Times New Roman" w:hAnsi="Times New Roman" w:cs="Times New Roman"/>
        </w:rPr>
        <w:t>个，公开项目占全部预算项目的100%。公开填报绩效目标的项目支出预算</w:t>
      </w:r>
      <w:r>
        <w:rPr>
          <w:rFonts w:hint="default" w:ascii="Times New Roman" w:hAnsi="Times New Roman" w:cs="Times New Roman"/>
          <w:lang w:val="en-US" w:eastAsia="zh-CN"/>
        </w:rPr>
        <w:t>135</w:t>
      </w:r>
      <w:r>
        <w:rPr>
          <w:rFonts w:hint="default" w:ascii="Times New Roman" w:hAnsi="Times New Roman" w:cs="Times New Roman"/>
        </w:rPr>
        <w:t>万元，占全部项目支出预算的100%。根据部门预算编制要求，对项目预算的绩效目标进行</w:t>
      </w:r>
      <w:r>
        <w:rPr>
          <w:rFonts w:hint="default" w:ascii="Times New Roman" w:hAnsi="Times New Roman" w:cs="Times New Roman"/>
          <w:lang w:val="en-US" w:eastAsia="zh-CN"/>
        </w:rPr>
        <w:t>设置</w:t>
      </w:r>
      <w:r>
        <w:rPr>
          <w:rFonts w:hint="default" w:ascii="Times New Roman" w:hAnsi="Times New Roman" w:cs="Times New Roman"/>
        </w:rPr>
        <w:t>。</w:t>
      </w:r>
      <w:r>
        <w:rPr>
          <w:rFonts w:hint="default" w:ascii="Times New Roman" w:hAnsi="Times New Roman" w:cs="Times New Roman"/>
          <w:lang w:val="en-US" w:eastAsia="zh-CN"/>
        </w:rPr>
        <w:t>从</w:t>
      </w:r>
      <w:r>
        <w:rPr>
          <w:rFonts w:hint="default" w:ascii="Times New Roman" w:hAnsi="Times New Roman" w:cs="Times New Roman"/>
        </w:rPr>
        <w:t>预算执行、产出、效益、满意度等多方面对预算项目进行综合绩效管理。设计具体项目绩效指标</w:t>
      </w:r>
      <w:r>
        <w:rPr>
          <w:rFonts w:hint="default" w:ascii="Times New Roman" w:hAnsi="Times New Roman" w:cs="Times New Roman"/>
          <w:lang w:val="en-US" w:eastAsia="zh-CN"/>
        </w:rPr>
        <w:t>6</w:t>
      </w:r>
      <w:r>
        <w:rPr>
          <w:rFonts w:hint="default" w:ascii="Times New Roman" w:hAnsi="Times New Roman" w:cs="Times New Roman"/>
        </w:rPr>
        <w:t>项，二级指标体系中：数量指标</w:t>
      </w:r>
      <w:r>
        <w:rPr>
          <w:rFonts w:hint="default" w:ascii="Times New Roman" w:hAnsi="Times New Roman" w:cs="Times New Roman"/>
          <w:lang w:val="en-US" w:eastAsia="zh-CN"/>
        </w:rPr>
        <w:t>12</w:t>
      </w:r>
      <w:r>
        <w:rPr>
          <w:rFonts w:hint="default" w:ascii="Times New Roman" w:hAnsi="Times New Roman" w:cs="Times New Roman"/>
        </w:rPr>
        <w:t>项，包括</w:t>
      </w:r>
      <w:r>
        <w:rPr>
          <w:rFonts w:hint="default" w:ascii="Times New Roman" w:hAnsi="Times New Roman" w:cs="Times New Roman"/>
          <w:lang w:val="en-US" w:eastAsia="zh-CN"/>
        </w:rPr>
        <w:t>购买上网行为管理软件升级服务</w:t>
      </w:r>
      <w:r>
        <w:rPr>
          <w:rFonts w:hint="default" w:ascii="Times New Roman" w:hAnsi="Times New Roman" w:cs="Times New Roman"/>
        </w:rPr>
        <w:t>等；质量指标</w:t>
      </w:r>
      <w:r>
        <w:rPr>
          <w:rFonts w:hint="default" w:ascii="Times New Roman" w:hAnsi="Times New Roman" w:cs="Times New Roman"/>
          <w:lang w:val="en-US" w:eastAsia="zh-CN"/>
        </w:rPr>
        <w:t>12</w:t>
      </w:r>
      <w:r>
        <w:rPr>
          <w:rFonts w:hint="default" w:ascii="Times New Roman" w:hAnsi="Times New Roman" w:cs="Times New Roman"/>
        </w:rPr>
        <w:t>项，包括</w:t>
      </w:r>
      <w:r>
        <w:rPr>
          <w:rFonts w:hint="default" w:ascii="Times New Roman" w:hAnsi="Times New Roman" w:cs="Times New Roman"/>
          <w:lang w:val="en-US" w:eastAsia="zh-CN"/>
        </w:rPr>
        <w:t>上网行为管理软件升级服务验收合格率等</w:t>
      </w:r>
      <w:r>
        <w:rPr>
          <w:rFonts w:hint="default" w:ascii="Times New Roman" w:hAnsi="Times New Roman" w:cs="Times New Roman"/>
        </w:rPr>
        <w:t>；时效指标</w:t>
      </w:r>
      <w:r>
        <w:rPr>
          <w:rFonts w:hint="default" w:ascii="Times New Roman" w:hAnsi="Times New Roman" w:cs="Times New Roman"/>
          <w:lang w:val="en-US" w:eastAsia="zh-CN"/>
        </w:rPr>
        <w:t>12</w:t>
      </w:r>
      <w:r>
        <w:rPr>
          <w:rFonts w:hint="default" w:ascii="Times New Roman" w:hAnsi="Times New Roman" w:cs="Times New Roman"/>
        </w:rPr>
        <w:t>项，包括</w:t>
      </w:r>
      <w:r>
        <w:rPr>
          <w:rFonts w:hint="default" w:ascii="Times New Roman" w:hAnsi="Times New Roman" w:cs="Times New Roman"/>
          <w:lang w:val="en-US" w:eastAsia="zh-CN"/>
        </w:rPr>
        <w:t>信息系统等级保护测评服务完成时间</w:t>
      </w:r>
      <w:r>
        <w:rPr>
          <w:rFonts w:hint="default" w:ascii="Times New Roman" w:hAnsi="Times New Roman" w:cs="Times New Roman"/>
        </w:rPr>
        <w:t>等；成本指标</w:t>
      </w:r>
      <w:r>
        <w:rPr>
          <w:rFonts w:hint="default" w:ascii="Times New Roman" w:hAnsi="Times New Roman" w:cs="Times New Roman"/>
          <w:lang w:val="en-US" w:eastAsia="zh-CN"/>
        </w:rPr>
        <w:t>12</w:t>
      </w:r>
      <w:r>
        <w:rPr>
          <w:rFonts w:hint="default" w:ascii="Times New Roman" w:hAnsi="Times New Roman" w:cs="Times New Roman"/>
        </w:rPr>
        <w:t>项，包</w:t>
      </w:r>
      <w:r>
        <w:rPr>
          <w:rFonts w:hint="default" w:ascii="Times New Roman" w:hAnsi="Times New Roman" w:cs="Times New Roman"/>
          <w:lang w:eastAsia="zh-CN"/>
        </w:rPr>
        <w:t>括</w:t>
      </w:r>
      <w:r>
        <w:rPr>
          <w:rFonts w:hint="default" w:ascii="Times New Roman" w:hAnsi="Times New Roman" w:cs="Times New Roman"/>
          <w:lang w:val="en-US" w:eastAsia="zh-CN"/>
        </w:rPr>
        <w:t>购买上网行为管理软件升级服务成本</w:t>
      </w:r>
      <w:r>
        <w:rPr>
          <w:rFonts w:hint="default" w:ascii="Times New Roman" w:hAnsi="Times New Roman" w:cs="Times New Roman"/>
        </w:rPr>
        <w:t>等；社会效益指标</w:t>
      </w:r>
      <w:r>
        <w:rPr>
          <w:rFonts w:hint="default" w:ascii="Times New Roman" w:hAnsi="Times New Roman" w:cs="Times New Roman"/>
          <w:lang w:val="en-US" w:eastAsia="zh-CN"/>
        </w:rPr>
        <w:t>2</w:t>
      </w:r>
      <w:r>
        <w:rPr>
          <w:rFonts w:hint="default" w:ascii="Times New Roman" w:hAnsi="Times New Roman" w:cs="Times New Roman"/>
        </w:rPr>
        <w:t>项，包括</w:t>
      </w:r>
      <w:r>
        <w:rPr>
          <w:rFonts w:hint="default" w:ascii="Times New Roman" w:hAnsi="Times New Roman" w:cs="Times New Roman"/>
          <w:lang w:val="en-US" w:eastAsia="zh-CN"/>
        </w:rPr>
        <w:t>保障教育城域网络安全稳定运行</w:t>
      </w:r>
      <w:r>
        <w:rPr>
          <w:rFonts w:hint="default" w:ascii="Times New Roman" w:hAnsi="Times New Roman" w:cs="Times New Roman"/>
        </w:rPr>
        <w:t>等；可持续影响指标</w:t>
      </w:r>
      <w:r>
        <w:rPr>
          <w:rFonts w:hint="default" w:ascii="Times New Roman" w:hAnsi="Times New Roman" w:cs="Times New Roman"/>
          <w:lang w:val="en-US" w:eastAsia="zh-CN"/>
        </w:rPr>
        <w:t>2</w:t>
      </w:r>
      <w:r>
        <w:rPr>
          <w:rFonts w:hint="default" w:ascii="Times New Roman" w:hAnsi="Times New Roman" w:cs="Times New Roman"/>
        </w:rPr>
        <w:t>项，包括</w:t>
      </w:r>
      <w:r>
        <w:rPr>
          <w:rFonts w:hint="default" w:ascii="Times New Roman" w:hAnsi="Times New Roman" w:cs="Times New Roman"/>
          <w:lang w:val="en-US" w:eastAsia="zh-CN"/>
        </w:rPr>
        <w:t>为教育城域网用户提供安全高速的网络环境</w:t>
      </w:r>
      <w:r>
        <w:rPr>
          <w:rFonts w:hint="default" w:ascii="Times New Roman" w:hAnsi="Times New Roman" w:cs="Times New Roman"/>
        </w:rPr>
        <w:t>等；服务对象满意度指标</w:t>
      </w:r>
      <w:r>
        <w:rPr>
          <w:rFonts w:hint="default" w:ascii="Times New Roman" w:hAnsi="Times New Roman" w:cs="Times New Roman"/>
          <w:lang w:val="en-US" w:eastAsia="zh-CN"/>
        </w:rPr>
        <w:t>4</w:t>
      </w:r>
      <w:r>
        <w:rPr>
          <w:rFonts w:hint="default" w:ascii="Times New Roman" w:hAnsi="Times New Roman" w:cs="Times New Roman"/>
        </w:rPr>
        <w:t>项，包括</w:t>
      </w:r>
      <w:r>
        <w:rPr>
          <w:rFonts w:hint="default" w:ascii="Times New Roman" w:hAnsi="Times New Roman" w:cs="Times New Roman"/>
          <w:lang w:val="en-US" w:eastAsia="zh-CN"/>
        </w:rPr>
        <w:t>教育管理人员满意度</w:t>
      </w:r>
      <w:r>
        <w:rPr>
          <w:rFonts w:hint="default" w:ascii="Times New Roman" w:hAnsi="Times New Roman" w:cs="Times New Roman"/>
        </w:rPr>
        <w:t>等。</w:t>
      </w:r>
    </w:p>
    <w:p w14:paraId="3498760F">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default" w:ascii="Times New Roman" w:hAnsi="Times New Roman" w:eastAsia="仿宋_GB2312" w:cs="Times New Roman"/>
          <w:b/>
          <w:bCs/>
          <w:color w:val="auto"/>
          <w:kern w:val="0"/>
          <w:sz w:val="32"/>
          <w:szCs w:val="32"/>
          <w:lang w:bidi="ar"/>
        </w:rPr>
      </w:pPr>
    </w:p>
    <w:p w14:paraId="39B4C3FA">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default" w:ascii="Times New Roman" w:hAnsi="Times New Roman" w:eastAsia="仿宋_GB2312" w:cs="Times New Roman"/>
          <w:color w:val="auto"/>
          <w:sz w:val="36"/>
          <w:szCs w:val="32"/>
        </w:rPr>
      </w:pPr>
      <w:r>
        <w:rPr>
          <w:rFonts w:hint="default" w:ascii="Times New Roman" w:hAnsi="Times New Roman" w:eastAsia="仿宋_GB2312" w:cs="Times New Roman"/>
          <w:b/>
          <w:bCs/>
          <w:color w:val="auto"/>
          <w:kern w:val="0"/>
          <w:sz w:val="36"/>
          <w:szCs w:val="32"/>
          <w:lang w:bidi="ar"/>
        </w:rPr>
        <w:t>第四部分 名词解释</w:t>
      </w:r>
    </w:p>
    <w:p w14:paraId="40BE8344">
      <w:pPr>
        <w:spacing w:line="600" w:lineRule="exact"/>
        <w:ind w:firstLine="643" w:firstLineChars="200"/>
        <w:rPr>
          <w:rFonts w:hint="default" w:ascii="Times New Roman" w:hAnsi="Times New Roman" w:eastAsia="仿宋_GB2312" w:cs="Times New Roman"/>
          <w:b/>
          <w:bCs/>
          <w:color w:val="auto"/>
          <w:kern w:val="0"/>
          <w:sz w:val="32"/>
          <w:szCs w:val="32"/>
          <w:highlight w:val="none"/>
          <w:lang w:bidi="ar"/>
        </w:rPr>
      </w:pPr>
      <w:r>
        <w:rPr>
          <w:rFonts w:hint="default" w:ascii="Times New Roman" w:hAnsi="Times New Roman" w:eastAsia="仿宋_GB2312" w:cs="Times New Roman"/>
          <w:b/>
          <w:bCs/>
          <w:sz w:val="32"/>
          <w:szCs w:val="32"/>
          <w:highlight w:val="none"/>
        </w:rPr>
        <w:t>一、财政拨款：</w:t>
      </w:r>
      <w:r>
        <w:rPr>
          <w:rFonts w:hint="default" w:ascii="Times New Roman" w:hAnsi="Times New Roman" w:eastAsia="仿宋_GB2312" w:cs="Times New Roman"/>
          <w:sz w:val="32"/>
          <w:szCs w:val="32"/>
          <w:highlight w:val="none"/>
        </w:rPr>
        <w:t>从同级财政部门取得的各类财政拨款，包括一般公共预算拨款、政府性基金预算拨款、国有资本经营预算拨款。</w:t>
      </w:r>
    </w:p>
    <w:p w14:paraId="1A5DB311">
      <w:pPr>
        <w:spacing w:line="600" w:lineRule="exact"/>
        <w:ind w:firstLine="643" w:firstLineChars="200"/>
        <w:rPr>
          <w:rFonts w:hint="default" w:ascii="Times New Roman" w:hAnsi="Times New Roman" w:eastAsia="仿宋_GB2312" w:cs="Times New Roman"/>
          <w:color w:val="auto"/>
          <w:kern w:val="0"/>
          <w:sz w:val="32"/>
          <w:szCs w:val="32"/>
          <w:highlight w:val="none"/>
          <w:lang w:bidi="ar"/>
        </w:rPr>
      </w:pPr>
      <w:r>
        <w:rPr>
          <w:rFonts w:hint="default" w:ascii="Times New Roman" w:hAnsi="Times New Roman" w:eastAsia="仿宋_GB2312" w:cs="Times New Roman"/>
          <w:b/>
          <w:bCs/>
          <w:color w:val="auto"/>
          <w:kern w:val="0"/>
          <w:sz w:val="32"/>
          <w:szCs w:val="32"/>
          <w:highlight w:val="none"/>
          <w:lang w:val="en-US" w:eastAsia="zh-CN" w:bidi="ar"/>
        </w:rPr>
        <w:t>二</w:t>
      </w:r>
      <w:r>
        <w:rPr>
          <w:rFonts w:hint="default" w:ascii="Times New Roman" w:hAnsi="Times New Roman" w:eastAsia="仿宋_GB2312" w:cs="Times New Roman"/>
          <w:b/>
          <w:bCs/>
          <w:color w:val="auto"/>
          <w:kern w:val="0"/>
          <w:sz w:val="32"/>
          <w:szCs w:val="32"/>
          <w:highlight w:val="none"/>
          <w:lang w:bidi="ar"/>
        </w:rPr>
        <w:t>、一般公共预算财政拨款收入</w:t>
      </w:r>
      <w:r>
        <w:rPr>
          <w:rFonts w:hint="default" w:ascii="Times New Roman" w:hAnsi="Times New Roman" w:eastAsia="仿宋_GB2312" w:cs="Times New Roman"/>
          <w:color w:val="auto"/>
          <w:kern w:val="0"/>
          <w:sz w:val="32"/>
          <w:szCs w:val="32"/>
          <w:highlight w:val="none"/>
          <w:lang w:bidi="ar"/>
        </w:rPr>
        <w:t>：指各单位从各级财政部门取得的财政预算资金。</w:t>
      </w:r>
    </w:p>
    <w:p w14:paraId="4E827B0C">
      <w:pPr>
        <w:spacing w:line="600" w:lineRule="exact"/>
        <w:ind w:firstLine="643"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rPr>
        <w:t>三、财政专户管理资金：</w:t>
      </w:r>
      <w:r>
        <w:rPr>
          <w:rFonts w:hint="default" w:ascii="Times New Roman" w:hAnsi="Times New Roman" w:eastAsia="仿宋_GB2312" w:cs="Times New Roman"/>
          <w:sz w:val="32"/>
          <w:szCs w:val="32"/>
          <w:highlight w:val="none"/>
        </w:rPr>
        <w:t>缴入财政专户、实行专项管理的高中以上学费、住宿费、高校委托培养费、函大、电大、夜大及短训班培训费等教育收费。</w:t>
      </w:r>
    </w:p>
    <w:p w14:paraId="4567B6D9">
      <w:pPr>
        <w:spacing w:line="600" w:lineRule="exact"/>
        <w:ind w:firstLine="643" w:firstLineChars="200"/>
        <w:rPr>
          <w:rFonts w:hint="default" w:ascii="Times New Roman" w:hAnsi="Times New Roman" w:cs="Times New Roman"/>
          <w:highlight w:val="none"/>
        </w:rPr>
      </w:pPr>
      <w:r>
        <w:rPr>
          <w:rFonts w:hint="default" w:ascii="Times New Roman" w:hAnsi="Times New Roman" w:eastAsia="仿宋_GB2312" w:cs="Times New Roman"/>
          <w:b/>
          <w:bCs/>
          <w:sz w:val="32"/>
          <w:szCs w:val="32"/>
          <w:highlight w:val="none"/>
        </w:rPr>
        <w:t>四、单位资金：</w:t>
      </w:r>
      <w:r>
        <w:rPr>
          <w:rFonts w:hint="default" w:ascii="Times New Roman" w:hAnsi="Times New Roman"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0CE25EAB">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eastAsia="zh-CN" w:bidi="ar"/>
        </w:rPr>
        <w:t>五</w:t>
      </w:r>
      <w:r>
        <w:rPr>
          <w:rFonts w:hint="default" w:ascii="Times New Roman" w:hAnsi="Times New Roman" w:eastAsia="仿宋_GB2312" w:cs="Times New Roman"/>
          <w:b/>
          <w:bCs/>
          <w:color w:val="auto"/>
          <w:kern w:val="0"/>
          <w:sz w:val="32"/>
          <w:szCs w:val="32"/>
          <w:highlight w:val="none"/>
          <w:lang w:bidi="ar"/>
        </w:rPr>
        <w:t>、事业收入</w:t>
      </w:r>
      <w:r>
        <w:rPr>
          <w:rFonts w:hint="default" w:ascii="Times New Roman" w:hAnsi="Times New Roman" w:eastAsia="仿宋_GB2312" w:cs="Times New Roman"/>
          <w:color w:val="auto"/>
          <w:kern w:val="0"/>
          <w:sz w:val="32"/>
          <w:szCs w:val="32"/>
          <w:highlight w:val="none"/>
          <w:lang w:bidi="ar"/>
        </w:rPr>
        <w:t>：是指事业单位开展专业业务活动及辅助活动所取得的收入。</w:t>
      </w:r>
    </w:p>
    <w:p w14:paraId="0A9D107D">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kern w:val="0"/>
          <w:sz w:val="32"/>
          <w:szCs w:val="32"/>
          <w:highlight w:val="none"/>
          <w:lang w:bidi="ar"/>
        </w:rPr>
      </w:pPr>
      <w:r>
        <w:rPr>
          <w:rFonts w:hint="default" w:ascii="Times New Roman" w:hAnsi="Times New Roman" w:eastAsia="仿宋_GB2312" w:cs="Times New Roman"/>
          <w:b/>
          <w:bCs/>
          <w:color w:val="auto"/>
          <w:kern w:val="0"/>
          <w:sz w:val="32"/>
          <w:szCs w:val="32"/>
          <w:highlight w:val="none"/>
          <w:lang w:eastAsia="zh-CN" w:bidi="ar"/>
        </w:rPr>
        <w:t>六</w:t>
      </w:r>
      <w:r>
        <w:rPr>
          <w:rFonts w:hint="default" w:ascii="Times New Roman" w:hAnsi="Times New Roman" w:eastAsia="仿宋_GB2312" w:cs="Times New Roman"/>
          <w:b/>
          <w:bCs/>
          <w:color w:val="auto"/>
          <w:kern w:val="0"/>
          <w:sz w:val="32"/>
          <w:szCs w:val="32"/>
          <w:highlight w:val="none"/>
          <w:lang w:bidi="ar"/>
        </w:rPr>
        <w:t>、事业单位经营收入</w:t>
      </w:r>
      <w:r>
        <w:rPr>
          <w:rFonts w:hint="default" w:ascii="Times New Roman" w:hAnsi="Times New Roman" w:eastAsia="仿宋_GB2312" w:cs="Times New Roman"/>
          <w:color w:val="auto"/>
          <w:kern w:val="0"/>
          <w:sz w:val="32"/>
          <w:szCs w:val="32"/>
          <w:highlight w:val="none"/>
          <w:lang w:bidi="ar"/>
        </w:rPr>
        <w:t>：是指事业单位在专业业务活动及其辅助活动之外开展非独立核算经营活动取得的收入。</w:t>
      </w:r>
    </w:p>
    <w:p w14:paraId="114E232F">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eastAsia="zh-CN" w:bidi="ar"/>
        </w:rPr>
        <w:t>七</w:t>
      </w:r>
      <w:r>
        <w:rPr>
          <w:rFonts w:hint="default" w:ascii="Times New Roman" w:hAnsi="Times New Roman" w:eastAsia="仿宋_GB2312" w:cs="Times New Roman"/>
          <w:b/>
          <w:bCs/>
          <w:color w:val="auto"/>
          <w:kern w:val="0"/>
          <w:sz w:val="32"/>
          <w:szCs w:val="32"/>
          <w:highlight w:val="none"/>
          <w:lang w:bidi="ar"/>
        </w:rPr>
        <w:t>、其他收入</w:t>
      </w:r>
      <w:r>
        <w:rPr>
          <w:rFonts w:hint="default" w:ascii="Times New Roman" w:hAnsi="Times New Roman" w:eastAsia="仿宋_GB2312" w:cs="Times New Roman"/>
          <w:color w:val="auto"/>
          <w:kern w:val="0"/>
          <w:sz w:val="32"/>
          <w:szCs w:val="32"/>
          <w:highlight w:val="none"/>
          <w:lang w:bidi="ar"/>
        </w:rPr>
        <w:t>：是指除上述“一般公共预算财政拨款收入”、“事业收入”、“事业单位经营收入”等以外的收入。主要是指按规定动用的售房收入、存款利息收入等。</w:t>
      </w:r>
    </w:p>
    <w:p w14:paraId="5D76B158">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eastAsia="zh-CN" w:bidi="ar"/>
        </w:rPr>
        <w:t>八</w:t>
      </w:r>
      <w:r>
        <w:rPr>
          <w:rFonts w:hint="default" w:ascii="Times New Roman" w:hAnsi="Times New Roman" w:eastAsia="仿宋_GB2312" w:cs="Times New Roman"/>
          <w:b/>
          <w:bCs/>
          <w:color w:val="auto"/>
          <w:kern w:val="0"/>
          <w:sz w:val="32"/>
          <w:szCs w:val="32"/>
          <w:highlight w:val="none"/>
          <w:lang w:bidi="ar"/>
        </w:rPr>
        <w:t>、上年结转和结余</w:t>
      </w:r>
      <w:r>
        <w:rPr>
          <w:rFonts w:hint="default" w:ascii="Times New Roman" w:hAnsi="Times New Roman" w:eastAsia="仿宋_GB2312" w:cs="Times New Roman"/>
          <w:color w:val="auto"/>
          <w:kern w:val="0"/>
          <w:sz w:val="32"/>
          <w:szCs w:val="32"/>
          <w:highlight w:val="none"/>
          <w:lang w:bidi="ar"/>
        </w:rPr>
        <w:t>：是指以前年度尚未完成、结转到本年仍按原规定用途继续使用的资金。</w:t>
      </w:r>
    </w:p>
    <w:p w14:paraId="741835AB">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kern w:val="0"/>
          <w:sz w:val="32"/>
          <w:szCs w:val="32"/>
          <w:highlight w:val="none"/>
          <w:lang w:bidi="ar"/>
        </w:rPr>
      </w:pPr>
      <w:r>
        <w:rPr>
          <w:rFonts w:hint="default" w:ascii="Times New Roman" w:hAnsi="Times New Roman" w:eastAsia="仿宋_GB2312" w:cs="Times New Roman"/>
          <w:b/>
          <w:bCs/>
          <w:color w:val="auto"/>
          <w:kern w:val="0"/>
          <w:sz w:val="32"/>
          <w:szCs w:val="32"/>
          <w:highlight w:val="none"/>
          <w:lang w:eastAsia="zh-CN" w:bidi="ar"/>
        </w:rPr>
        <w:t>九</w:t>
      </w:r>
      <w:r>
        <w:rPr>
          <w:rFonts w:hint="default" w:ascii="Times New Roman" w:hAnsi="Times New Roman" w:eastAsia="仿宋_GB2312" w:cs="Times New Roman"/>
          <w:b/>
          <w:bCs/>
          <w:color w:val="auto"/>
          <w:kern w:val="0"/>
          <w:sz w:val="32"/>
          <w:szCs w:val="32"/>
          <w:highlight w:val="none"/>
          <w:lang w:bidi="ar"/>
        </w:rPr>
        <w:t>、基本支出</w:t>
      </w:r>
      <w:r>
        <w:rPr>
          <w:rFonts w:hint="default" w:ascii="Times New Roman" w:hAnsi="Times New Roman" w:eastAsia="仿宋_GB2312" w:cs="Times New Roman"/>
          <w:color w:val="auto"/>
          <w:kern w:val="0"/>
          <w:sz w:val="32"/>
          <w:szCs w:val="32"/>
          <w:highlight w:val="none"/>
          <w:lang w:bidi="ar"/>
        </w:rPr>
        <w:t>：指各单位为保障机构正常运转和完成日常工作任务发生的支出，包括人员支出和公用支出。</w:t>
      </w:r>
    </w:p>
    <w:p w14:paraId="41EFFFB5">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eastAsia="zh-CN" w:bidi="ar"/>
        </w:rPr>
        <w:t>十</w:t>
      </w:r>
      <w:r>
        <w:rPr>
          <w:rFonts w:hint="default" w:ascii="Times New Roman" w:hAnsi="Times New Roman" w:eastAsia="仿宋_GB2312" w:cs="Times New Roman"/>
          <w:b/>
          <w:bCs/>
          <w:color w:val="auto"/>
          <w:kern w:val="0"/>
          <w:sz w:val="32"/>
          <w:szCs w:val="32"/>
          <w:highlight w:val="none"/>
          <w:lang w:bidi="ar"/>
        </w:rPr>
        <w:t>、项目支出</w:t>
      </w:r>
      <w:r>
        <w:rPr>
          <w:rFonts w:hint="default" w:ascii="Times New Roman" w:hAnsi="Times New Roman" w:eastAsia="仿宋_GB2312" w:cs="Times New Roman"/>
          <w:color w:val="auto"/>
          <w:kern w:val="0"/>
          <w:sz w:val="32"/>
          <w:szCs w:val="32"/>
          <w:highlight w:val="none"/>
          <w:lang w:bidi="ar"/>
        </w:rPr>
        <w:t>：指各单位为完成特定的工作任务，在基本支出之外发生的专项性支出。</w:t>
      </w:r>
    </w:p>
    <w:p w14:paraId="4C8A3350">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eastAsia="zh-CN" w:bidi="ar"/>
        </w:rPr>
        <w:t>十一</w:t>
      </w:r>
      <w:r>
        <w:rPr>
          <w:rFonts w:hint="default" w:ascii="Times New Roman" w:hAnsi="Times New Roman" w:eastAsia="仿宋_GB2312" w:cs="Times New Roman"/>
          <w:b/>
          <w:bCs/>
          <w:color w:val="auto"/>
          <w:kern w:val="0"/>
          <w:sz w:val="32"/>
          <w:szCs w:val="32"/>
          <w:highlight w:val="none"/>
          <w:lang w:bidi="ar"/>
        </w:rPr>
        <w:t>、工资福利支出（支出经济分类科目类级）</w:t>
      </w:r>
      <w:r>
        <w:rPr>
          <w:rFonts w:hint="default" w:ascii="Times New Roman" w:hAnsi="Times New Roman" w:eastAsia="仿宋_GB2312" w:cs="Times New Roman"/>
          <w:color w:val="auto"/>
          <w:kern w:val="0"/>
          <w:sz w:val="32"/>
          <w:szCs w:val="32"/>
          <w:highlight w:val="none"/>
          <w:lang w:bidi="ar"/>
        </w:rPr>
        <w:t>：反映单位开支的在职职工和编制外长期聘用人员的各类劳动报酬，经及上述人员缴纳的各项社会保险费等。</w:t>
      </w:r>
    </w:p>
    <w:p w14:paraId="6C829643">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val="en-US" w:eastAsia="zh-CN" w:bidi="ar"/>
        </w:rPr>
        <w:t>十二</w:t>
      </w:r>
      <w:r>
        <w:rPr>
          <w:rFonts w:hint="default" w:ascii="Times New Roman" w:hAnsi="Times New Roman" w:eastAsia="仿宋_GB2312" w:cs="Times New Roman"/>
          <w:b/>
          <w:bCs/>
          <w:color w:val="auto"/>
          <w:kern w:val="0"/>
          <w:sz w:val="32"/>
          <w:szCs w:val="32"/>
          <w:highlight w:val="none"/>
          <w:lang w:bidi="ar"/>
        </w:rPr>
        <w:t>、商品和服务支出（支出经济分类科目类级）</w:t>
      </w:r>
      <w:r>
        <w:rPr>
          <w:rFonts w:hint="default" w:ascii="Times New Roman" w:hAnsi="Times New Roman" w:eastAsia="仿宋_GB2312" w:cs="Times New Roman"/>
          <w:color w:val="auto"/>
          <w:kern w:val="0"/>
          <w:sz w:val="32"/>
          <w:szCs w:val="32"/>
          <w:highlight w:val="none"/>
          <w:lang w:bidi="ar"/>
        </w:rPr>
        <w:t>：反映单位购买商品和服务的支出（不包括用于购置固定资产的支出、战略性和应急储备支出）。</w:t>
      </w:r>
    </w:p>
    <w:p w14:paraId="432DE32A">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val="en-US" w:eastAsia="zh-CN" w:bidi="ar"/>
        </w:rPr>
        <w:t>十三</w:t>
      </w:r>
      <w:r>
        <w:rPr>
          <w:rFonts w:hint="default" w:ascii="Times New Roman" w:hAnsi="Times New Roman" w:eastAsia="仿宋_GB2312" w:cs="Times New Roman"/>
          <w:b/>
          <w:bCs/>
          <w:color w:val="auto"/>
          <w:kern w:val="0"/>
          <w:sz w:val="32"/>
          <w:szCs w:val="32"/>
          <w:highlight w:val="none"/>
          <w:lang w:bidi="ar"/>
        </w:rPr>
        <w:t>、对个人和家庭的补助（支出经济分类科目类级）：</w:t>
      </w:r>
      <w:r>
        <w:rPr>
          <w:rFonts w:hint="default" w:ascii="Times New Roman" w:hAnsi="Times New Roman" w:eastAsia="仿宋_GB2312" w:cs="Times New Roman"/>
          <w:color w:val="auto"/>
          <w:kern w:val="0"/>
          <w:sz w:val="32"/>
          <w:szCs w:val="32"/>
          <w:highlight w:val="none"/>
          <w:lang w:bidi="ar"/>
        </w:rPr>
        <w:t>反映政府用于对个人和家庭的补助支出。</w:t>
      </w:r>
    </w:p>
    <w:p w14:paraId="2FB948B4">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bidi="ar"/>
        </w:rPr>
        <w:t>十</w:t>
      </w:r>
      <w:r>
        <w:rPr>
          <w:rFonts w:hint="default" w:ascii="Times New Roman" w:hAnsi="Times New Roman" w:eastAsia="仿宋_GB2312" w:cs="Times New Roman"/>
          <w:b/>
          <w:bCs/>
          <w:color w:val="auto"/>
          <w:kern w:val="0"/>
          <w:sz w:val="32"/>
          <w:szCs w:val="32"/>
          <w:highlight w:val="none"/>
          <w:lang w:eastAsia="zh-CN" w:bidi="ar"/>
        </w:rPr>
        <w:t>四</w:t>
      </w:r>
      <w:r>
        <w:rPr>
          <w:rFonts w:hint="default" w:ascii="Times New Roman" w:hAnsi="Times New Roman" w:eastAsia="仿宋_GB2312" w:cs="Times New Roman"/>
          <w:b/>
          <w:bCs/>
          <w:color w:val="auto"/>
          <w:kern w:val="0"/>
          <w:sz w:val="32"/>
          <w:szCs w:val="32"/>
          <w:highlight w:val="none"/>
          <w:lang w:bidi="ar"/>
        </w:rPr>
        <w:t>、“三公”经费</w:t>
      </w:r>
      <w:r>
        <w:rPr>
          <w:rFonts w:hint="default" w:ascii="Times New Roman" w:hAnsi="Times New Roman" w:eastAsia="仿宋_GB2312" w:cs="Times New Roman"/>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14:paraId="0ABD4D35">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bidi="ar"/>
        </w:rPr>
        <w:t>十</w:t>
      </w:r>
      <w:r>
        <w:rPr>
          <w:rFonts w:hint="default" w:ascii="Times New Roman" w:hAnsi="Times New Roman" w:eastAsia="仿宋_GB2312" w:cs="Times New Roman"/>
          <w:b/>
          <w:bCs/>
          <w:color w:val="auto"/>
          <w:kern w:val="0"/>
          <w:sz w:val="32"/>
          <w:szCs w:val="32"/>
          <w:highlight w:val="none"/>
          <w:lang w:eastAsia="zh-CN" w:bidi="ar"/>
        </w:rPr>
        <w:t>五</w:t>
      </w:r>
      <w:r>
        <w:rPr>
          <w:rFonts w:hint="default" w:ascii="Times New Roman" w:hAnsi="Times New Roman" w:eastAsia="仿宋_GB2312" w:cs="Times New Roman"/>
          <w:b/>
          <w:bCs/>
          <w:color w:val="auto"/>
          <w:kern w:val="0"/>
          <w:sz w:val="32"/>
          <w:szCs w:val="32"/>
          <w:highlight w:val="none"/>
          <w:lang w:bidi="ar"/>
        </w:rPr>
        <w:t>、机关运行经费</w:t>
      </w:r>
      <w:r>
        <w:rPr>
          <w:rFonts w:hint="default" w:ascii="Times New Roman" w:hAnsi="Times New Roman" w:eastAsia="仿宋_GB2312" w:cs="Times New Roman"/>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14:paraId="10CF3AA5">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kern w:val="0"/>
          <w:sz w:val="32"/>
          <w:szCs w:val="32"/>
          <w:highlight w:val="none"/>
          <w:lang w:bidi="ar"/>
        </w:rPr>
        <w:t>十</w:t>
      </w:r>
      <w:r>
        <w:rPr>
          <w:rFonts w:hint="default" w:ascii="Times New Roman" w:hAnsi="Times New Roman" w:eastAsia="仿宋_GB2312" w:cs="Times New Roman"/>
          <w:b/>
          <w:bCs/>
          <w:color w:val="auto"/>
          <w:kern w:val="0"/>
          <w:sz w:val="32"/>
          <w:szCs w:val="32"/>
          <w:highlight w:val="none"/>
          <w:lang w:eastAsia="zh-CN" w:bidi="ar"/>
        </w:rPr>
        <w:t>六</w:t>
      </w:r>
      <w:r>
        <w:rPr>
          <w:rFonts w:hint="default" w:ascii="Times New Roman" w:hAnsi="Times New Roman" w:eastAsia="仿宋_GB2312" w:cs="Times New Roman"/>
          <w:b/>
          <w:bCs/>
          <w:color w:val="auto"/>
          <w:kern w:val="0"/>
          <w:sz w:val="32"/>
          <w:szCs w:val="32"/>
          <w:highlight w:val="none"/>
          <w:lang w:bidi="ar"/>
        </w:rPr>
        <w:t>、事业运转经费</w:t>
      </w:r>
      <w:r>
        <w:rPr>
          <w:rFonts w:hint="default" w:ascii="Times New Roman" w:hAnsi="Times New Roman" w:eastAsia="仿宋_GB2312" w:cs="Times New Roman"/>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14:paraId="4DF668D3">
      <w:pPr>
        <w:widowControl/>
        <w:spacing w:line="600" w:lineRule="exact"/>
        <w:jc w:val="center"/>
        <w:rPr>
          <w:rFonts w:hint="default" w:ascii="Times New Roman" w:hAnsi="Times New Roman" w:eastAsia="仿宋_GB2312" w:cs="Times New Roman"/>
          <w:b/>
          <w:bCs/>
          <w:color w:val="auto"/>
          <w:kern w:val="0"/>
          <w:sz w:val="36"/>
          <w:szCs w:val="32"/>
          <w:lang w:bidi="ar"/>
        </w:rPr>
      </w:pPr>
    </w:p>
    <w:p w14:paraId="0FA504A3">
      <w:pPr>
        <w:widowControl/>
        <w:spacing w:line="600" w:lineRule="exact"/>
        <w:jc w:val="center"/>
        <w:rPr>
          <w:rFonts w:hint="default" w:ascii="Times New Roman" w:hAnsi="Times New Roman" w:eastAsia="仿宋_GB2312" w:cs="Times New Roman"/>
          <w:color w:val="auto"/>
          <w:sz w:val="36"/>
          <w:szCs w:val="32"/>
        </w:rPr>
      </w:pPr>
      <w:r>
        <w:rPr>
          <w:rFonts w:hint="default" w:ascii="Times New Roman" w:hAnsi="Times New Roman" w:eastAsia="仿宋_GB2312" w:cs="Times New Roman"/>
          <w:b/>
          <w:bCs/>
          <w:color w:val="auto"/>
          <w:kern w:val="0"/>
          <w:sz w:val="36"/>
          <w:szCs w:val="32"/>
          <w:lang w:bidi="ar"/>
        </w:rPr>
        <w:t>第五部分 预算公开联系方式及信息反馈渠道</w:t>
      </w:r>
    </w:p>
    <w:p w14:paraId="7EB6A80F">
      <w:pPr>
        <w:bidi w:val="0"/>
        <w:rPr>
          <w:rFonts w:hint="default" w:ascii="Times New Roman" w:hAnsi="Times New Roman" w:cs="Times New Roman"/>
        </w:rPr>
      </w:pPr>
    </w:p>
    <w:p w14:paraId="5531702E">
      <w:pPr>
        <w:bidi w:val="0"/>
        <w:rPr>
          <w:rFonts w:hint="default" w:ascii="Times New Roman" w:hAnsi="Times New Roman" w:cs="Times New Roman"/>
        </w:rPr>
      </w:pPr>
      <w:r>
        <w:rPr>
          <w:rFonts w:hint="default" w:ascii="Times New Roman" w:hAnsi="Times New Roman" w:cs="Times New Roman"/>
        </w:rPr>
        <w:t>本单位预算公开信息反馈和联系方式：</w:t>
      </w:r>
    </w:p>
    <w:p w14:paraId="1C1C2AB9">
      <w:pPr>
        <w:bidi w:val="0"/>
        <w:rPr>
          <w:rFonts w:hint="default" w:ascii="Times New Roman" w:hAnsi="Times New Roman" w:eastAsia="仿宋_GB2312" w:cs="Times New Roman"/>
          <w:lang w:val="en-US" w:eastAsia="zh-CN"/>
        </w:rPr>
      </w:pPr>
      <w:r>
        <w:rPr>
          <w:rFonts w:hint="default" w:ascii="Times New Roman" w:hAnsi="Times New Roman" w:cs="Times New Roman"/>
        </w:rPr>
        <w:t>联系人：</w:t>
      </w:r>
      <w:r>
        <w:rPr>
          <w:rFonts w:hint="default" w:ascii="Times New Roman" w:hAnsi="Times New Roman" w:cs="Times New Roman"/>
          <w:lang w:eastAsia="zh-CN"/>
        </w:rPr>
        <w:t>乔裕</w:t>
      </w:r>
      <w:r>
        <w:rPr>
          <w:rFonts w:hint="default" w:ascii="Times New Roman" w:hAnsi="Times New Roman" w:cs="Times New Roman"/>
        </w:rPr>
        <w:t xml:space="preserve">         联系电话：</w:t>
      </w:r>
      <w:r>
        <w:rPr>
          <w:rFonts w:hint="default" w:ascii="Times New Roman" w:hAnsi="Times New Roman" w:cs="Times New Roman"/>
          <w:lang w:val="en-US" w:eastAsia="zh-CN"/>
        </w:rPr>
        <w:t>2085106</w:t>
      </w:r>
    </w:p>
    <w:p w14:paraId="44A33C57">
      <w:pPr>
        <w:widowControl/>
        <w:spacing w:line="600" w:lineRule="exact"/>
        <w:ind w:firstLine="643" w:firstLineChars="200"/>
        <w:jc w:val="left"/>
        <w:rPr>
          <w:rFonts w:hint="default" w:ascii="Times New Roman" w:hAnsi="Times New Roman" w:eastAsia="仿宋_GB2312" w:cs="Times New Roman"/>
          <w:b/>
          <w:bCs/>
          <w:color w:val="auto"/>
          <w:kern w:val="0"/>
          <w:sz w:val="32"/>
          <w:szCs w:val="32"/>
          <w:lang w:bidi="ar"/>
        </w:rPr>
      </w:pPr>
    </w:p>
    <w:p w14:paraId="3D856E38">
      <w:pPr>
        <w:widowControl/>
        <w:spacing w:line="600" w:lineRule="exact"/>
        <w:ind w:firstLine="723" w:firstLineChars="200"/>
        <w:jc w:val="center"/>
        <w:rPr>
          <w:rFonts w:hint="default" w:ascii="Times New Roman" w:hAnsi="Times New Roman" w:eastAsia="仿宋_GB2312" w:cs="Times New Roman"/>
          <w:color w:val="auto"/>
          <w:kern w:val="0"/>
          <w:sz w:val="32"/>
          <w:szCs w:val="32"/>
          <w:lang w:bidi="ar"/>
        </w:rPr>
      </w:pPr>
      <w:r>
        <w:rPr>
          <w:rFonts w:hint="default" w:ascii="Times New Roman" w:hAnsi="Times New Roman" w:eastAsia="仿宋_GB2312" w:cs="Times New Roman"/>
          <w:b/>
          <w:bCs/>
          <w:color w:val="auto"/>
          <w:kern w:val="0"/>
          <w:sz w:val="36"/>
          <w:szCs w:val="32"/>
          <w:lang w:bidi="ar"/>
        </w:rPr>
        <w:t>第六部分 部门预算公开表</w:t>
      </w:r>
    </w:p>
    <w:p w14:paraId="090253FE">
      <w:pPr>
        <w:bidi w:val="0"/>
        <w:rPr>
          <w:rFonts w:hint="default" w:ascii="Times New Roman" w:hAnsi="Times New Roman" w:cs="Times New Roman"/>
        </w:rPr>
      </w:pPr>
      <w:r>
        <w:rPr>
          <w:rFonts w:hint="default" w:ascii="Times New Roman" w:hAnsi="Times New Roman" w:cs="Times New Roman"/>
        </w:rPr>
        <w:t>附表：</w:t>
      </w:r>
    </w:p>
    <w:p w14:paraId="11A81912">
      <w:pPr>
        <w:bidi w:val="0"/>
        <w:rPr>
          <w:rFonts w:hint="default" w:ascii="Times New Roman" w:hAnsi="Times New Roman" w:cs="Times New Roman"/>
        </w:rPr>
      </w:pPr>
      <w:r>
        <w:rPr>
          <w:rFonts w:hint="default" w:ascii="Times New Roman" w:hAnsi="Times New Roman" w:cs="Times New Roman"/>
        </w:rPr>
        <w:t>部门预算公开表</w:t>
      </w:r>
    </w:p>
    <w:sectPr>
      <w:pgSz w:w="11906" w:h="16838"/>
      <w:pgMar w:top="1701" w:right="1531" w:bottom="1701"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F60ECD-ACCA-4E32-ADE7-B77612A66945}"/>
  </w:font>
  <w:font w:name="Courier New">
    <w:panose1 w:val="02070309020205020404"/>
    <w:charset w:val="01"/>
    <w:family w:val="modern"/>
    <w:pitch w:val="default"/>
    <w:sig w:usb0="E0002AFF" w:usb1="C0007843" w:usb2="00000009" w:usb3="00000000" w:csb0="400001FF" w:csb1="FFFF0000"/>
    <w:embedRegular r:id="rId2" w:fontKey="{F156086C-4D56-40EC-8E9B-BB938F4CB205}"/>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FFA6B82A-85C2-4288-A80D-46048369695A}"/>
  </w:font>
  <w:font w:name="楷体">
    <w:panose1 w:val="02010609060101010101"/>
    <w:charset w:val="86"/>
    <w:family w:val="auto"/>
    <w:pitch w:val="default"/>
    <w:sig w:usb0="800002BF" w:usb1="38CF7CFA" w:usb2="00000016" w:usb3="00000000" w:csb0="00040001" w:csb1="00000000"/>
    <w:embedRegular r:id="rId4" w:fontKey="{23090FC2-15D2-4066-B9AC-9C34C46343D3}"/>
  </w:font>
  <w:font w:name="楷体_GB2312">
    <w:panose1 w:val="02010609030101010101"/>
    <w:charset w:val="86"/>
    <w:family w:val="modern"/>
    <w:pitch w:val="default"/>
    <w:sig w:usb0="00000001" w:usb1="080E0000" w:usb2="00000000" w:usb3="00000000" w:csb0="00040000" w:csb1="00000000"/>
    <w:embedRegular r:id="rId5" w:fontKey="{8D98A49C-1DBD-4138-A9F7-66E7D4ACD02D}"/>
  </w:font>
  <w:font w:name="仿宋">
    <w:panose1 w:val="02010609060101010101"/>
    <w:charset w:val="86"/>
    <w:family w:val="modern"/>
    <w:pitch w:val="default"/>
    <w:sig w:usb0="800002BF" w:usb1="38CF7CFA" w:usb2="00000016" w:usb3="00000000" w:csb0="00040001" w:csb1="00000000"/>
    <w:embedRegular r:id="rId6" w:fontKey="{A8A5CB3B-B6C4-47AB-A148-FC90E3F416C4}"/>
  </w:font>
  <w:font w:name="方正小标宋简体">
    <w:panose1 w:val="02010600010101010101"/>
    <w:charset w:val="86"/>
    <w:family w:val="script"/>
    <w:pitch w:val="default"/>
    <w:sig w:usb0="00000001" w:usb1="080E0000" w:usb2="00000000" w:usb3="00000000" w:csb0="00040000" w:csb1="00000000"/>
    <w:embedRegular r:id="rId7" w:fontKey="{611E9286-EC44-40BC-8DF9-C9FF7081EC4A}"/>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9C96D59"/>
    <w:rsid w:val="0AC96805"/>
    <w:rsid w:val="0C25691C"/>
    <w:rsid w:val="0C6B7C04"/>
    <w:rsid w:val="0D944C9B"/>
    <w:rsid w:val="0DE07682"/>
    <w:rsid w:val="0E401CE0"/>
    <w:rsid w:val="0E5928AD"/>
    <w:rsid w:val="0E6D0F0A"/>
    <w:rsid w:val="0EED1247"/>
    <w:rsid w:val="10552A54"/>
    <w:rsid w:val="11651BDC"/>
    <w:rsid w:val="11E26F91"/>
    <w:rsid w:val="122512A7"/>
    <w:rsid w:val="13733397"/>
    <w:rsid w:val="13E250F3"/>
    <w:rsid w:val="141A23D2"/>
    <w:rsid w:val="156F12B5"/>
    <w:rsid w:val="15E7217E"/>
    <w:rsid w:val="162643BD"/>
    <w:rsid w:val="165322D8"/>
    <w:rsid w:val="166149F5"/>
    <w:rsid w:val="170432A2"/>
    <w:rsid w:val="17D336D0"/>
    <w:rsid w:val="18117D01"/>
    <w:rsid w:val="18F2157A"/>
    <w:rsid w:val="19D74DC7"/>
    <w:rsid w:val="19FE219C"/>
    <w:rsid w:val="1C5D17BA"/>
    <w:rsid w:val="1D994CD6"/>
    <w:rsid w:val="1E5C5F4C"/>
    <w:rsid w:val="1F2D5323"/>
    <w:rsid w:val="1F437682"/>
    <w:rsid w:val="208562DE"/>
    <w:rsid w:val="21FD5187"/>
    <w:rsid w:val="25921DA6"/>
    <w:rsid w:val="26355BC8"/>
    <w:rsid w:val="27887EEA"/>
    <w:rsid w:val="27EB411E"/>
    <w:rsid w:val="283A50A6"/>
    <w:rsid w:val="29572EEB"/>
    <w:rsid w:val="29BB2216"/>
    <w:rsid w:val="2A792B2B"/>
    <w:rsid w:val="2B5362EC"/>
    <w:rsid w:val="2BFA0DD4"/>
    <w:rsid w:val="2C960AEF"/>
    <w:rsid w:val="2D485B6F"/>
    <w:rsid w:val="2E3D769E"/>
    <w:rsid w:val="2EEB3E4B"/>
    <w:rsid w:val="2EF44200"/>
    <w:rsid w:val="2FDC400F"/>
    <w:rsid w:val="32857DC7"/>
    <w:rsid w:val="3436578D"/>
    <w:rsid w:val="35254F8D"/>
    <w:rsid w:val="38340B9F"/>
    <w:rsid w:val="391D7DB8"/>
    <w:rsid w:val="393856DB"/>
    <w:rsid w:val="39866B64"/>
    <w:rsid w:val="3A192D6D"/>
    <w:rsid w:val="3B514118"/>
    <w:rsid w:val="3F330806"/>
    <w:rsid w:val="4077259B"/>
    <w:rsid w:val="40E03BB7"/>
    <w:rsid w:val="4121045B"/>
    <w:rsid w:val="4121568C"/>
    <w:rsid w:val="42D444E7"/>
    <w:rsid w:val="42FD7B3B"/>
    <w:rsid w:val="45A860A2"/>
    <w:rsid w:val="46163B90"/>
    <w:rsid w:val="46A241A8"/>
    <w:rsid w:val="46F87D23"/>
    <w:rsid w:val="4864183A"/>
    <w:rsid w:val="48B23A9D"/>
    <w:rsid w:val="4971760C"/>
    <w:rsid w:val="4AFD5D93"/>
    <w:rsid w:val="4B3519D1"/>
    <w:rsid w:val="4B712846"/>
    <w:rsid w:val="4B843A37"/>
    <w:rsid w:val="4CBD7ED0"/>
    <w:rsid w:val="4D176431"/>
    <w:rsid w:val="4DEC71DA"/>
    <w:rsid w:val="4E01331C"/>
    <w:rsid w:val="4E4A12EF"/>
    <w:rsid w:val="4E5E3B4D"/>
    <w:rsid w:val="4F39358C"/>
    <w:rsid w:val="50877939"/>
    <w:rsid w:val="50BD378A"/>
    <w:rsid w:val="5149784B"/>
    <w:rsid w:val="51EC02FC"/>
    <w:rsid w:val="532C36B9"/>
    <w:rsid w:val="54083141"/>
    <w:rsid w:val="55215F2B"/>
    <w:rsid w:val="578D7812"/>
    <w:rsid w:val="58CF5213"/>
    <w:rsid w:val="58DD6A1A"/>
    <w:rsid w:val="5A15334E"/>
    <w:rsid w:val="5B144406"/>
    <w:rsid w:val="5BCF4F94"/>
    <w:rsid w:val="5BE01ECB"/>
    <w:rsid w:val="5F920624"/>
    <w:rsid w:val="62DD6B64"/>
    <w:rsid w:val="632D4A46"/>
    <w:rsid w:val="643E00CD"/>
    <w:rsid w:val="64D239FA"/>
    <w:rsid w:val="656D646C"/>
    <w:rsid w:val="66552ACF"/>
    <w:rsid w:val="66956903"/>
    <w:rsid w:val="679B5E04"/>
    <w:rsid w:val="697F233D"/>
    <w:rsid w:val="6B296AAC"/>
    <w:rsid w:val="6BB9765C"/>
    <w:rsid w:val="6C4B3FAF"/>
    <w:rsid w:val="6E970F21"/>
    <w:rsid w:val="71A812B9"/>
    <w:rsid w:val="733B199F"/>
    <w:rsid w:val="737F118B"/>
    <w:rsid w:val="73933020"/>
    <w:rsid w:val="73CB617F"/>
    <w:rsid w:val="76076AA2"/>
    <w:rsid w:val="767A36FE"/>
    <w:rsid w:val="770B3462"/>
    <w:rsid w:val="776408DE"/>
    <w:rsid w:val="77B86A77"/>
    <w:rsid w:val="77C701C7"/>
    <w:rsid w:val="77EB5041"/>
    <w:rsid w:val="795443EC"/>
    <w:rsid w:val="7A733303"/>
    <w:rsid w:val="7B3B008E"/>
    <w:rsid w:val="7B9D2AF7"/>
    <w:rsid w:val="7D4059B8"/>
    <w:rsid w:val="7F61502E"/>
    <w:rsid w:val="7F774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bidi w:val="0"/>
      <w:adjustRightInd w:val="0"/>
      <w:snapToGrid w:val="0"/>
      <w:spacing w:line="560" w:lineRule="exact"/>
      <w:ind w:firstLine="64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eastAsia="黑体"/>
      <w:kern w:val="44"/>
    </w:rPr>
  </w:style>
  <w:style w:type="paragraph" w:styleId="3">
    <w:name w:val="heading 2"/>
    <w:basedOn w:val="1"/>
    <w:next w:val="1"/>
    <w:link w:val="14"/>
    <w:unhideWhenUsed/>
    <w:qFormat/>
    <w:uiPriority w:val="0"/>
    <w:pPr>
      <w:widowControl/>
      <w:ind w:left="0"/>
      <w:outlineLvl w:val="1"/>
    </w:pPr>
    <w:rPr>
      <w:rFonts w:ascii="楷体" w:hAnsi="楷体" w:eastAsia="楷体_GB2312" w:cs="楷体"/>
      <w:bCs/>
      <w:kern w:val="0"/>
      <w:szCs w:val="32"/>
      <w:lang w:val="zh-CN" w:bidi="zh-CN"/>
    </w:rPr>
  </w:style>
  <w:style w:type="paragraph" w:styleId="4">
    <w:name w:val="heading 3"/>
    <w:basedOn w:val="5"/>
    <w:next w:val="1"/>
    <w:unhideWhenUsed/>
    <w:qFormat/>
    <w:uiPriority w:val="0"/>
    <w:pPr>
      <w:tabs>
        <w:tab w:val="left" w:pos="4275"/>
      </w:tabs>
      <w:adjustRightInd/>
      <w:snapToGrid/>
      <w:spacing w:after="0"/>
      <w:ind w:firstLine="643"/>
      <w:outlineLvl w:val="2"/>
    </w:pPr>
    <w:rPr>
      <w:rFonts w:ascii="楷体" w:hAnsi="楷体" w:eastAsia="楷体" w:cs="楷体"/>
      <w:b/>
      <w:bCs/>
      <w:color w:val="auto"/>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5">
    <w:name w:val="Body Text"/>
    <w:basedOn w:val="1"/>
    <w:link w:val="15"/>
    <w:unhideWhenUsed/>
    <w:qFormat/>
    <w:uiPriority w:val="1"/>
    <w:pPr>
      <w:spacing w:after="120"/>
    </w:pPr>
  </w:style>
  <w:style w:type="paragraph" w:styleId="6">
    <w:name w:val="Body Text Indent"/>
    <w:basedOn w:val="1"/>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paragraph" w:styleId="10">
    <w:name w:val="Body Text First Indent 2"/>
    <w:basedOn w:val="6"/>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Char"/>
    <w:basedOn w:val="13"/>
    <w:link w:val="3"/>
    <w:qFormat/>
    <w:uiPriority w:val="0"/>
    <w:rPr>
      <w:rFonts w:ascii="楷体" w:hAnsi="楷体" w:eastAsia="楷体_GB2312" w:cs="楷体"/>
      <w:bCs/>
      <w:sz w:val="32"/>
      <w:szCs w:val="32"/>
      <w:lang w:val="zh-CN" w:bidi="zh-CN"/>
    </w:rPr>
  </w:style>
  <w:style w:type="character" w:customStyle="1" w:styleId="15">
    <w:name w:val="正文文本 Char"/>
    <w:basedOn w:val="13"/>
    <w:link w:val="5"/>
    <w:qFormat/>
    <w:uiPriority w:val="0"/>
    <w:rPr>
      <w:rFonts w:hint="eastAsia" w:ascii="仿宋" w:hAnsi="仿宋" w:eastAsia="仿宋" w:cs="仿宋"/>
      <w:sz w:val="32"/>
      <w:szCs w:val="32"/>
      <w:lang w:val="zh-CN" w:bidi="zh-CN"/>
    </w:rPr>
  </w:style>
  <w:style w:type="character" w:customStyle="1" w:styleId="16">
    <w:name w:val="页脚 Char"/>
    <w:basedOn w:val="13"/>
    <w:link w:val="7"/>
    <w:qFormat/>
    <w:uiPriority w:val="0"/>
    <w:rPr>
      <w:rFonts w:ascii="Calibri" w:hAnsi="Calibri"/>
      <w:kern w:val="2"/>
      <w:sz w:val="18"/>
      <w:szCs w:val="18"/>
    </w:rPr>
  </w:style>
  <w:style w:type="character" w:customStyle="1" w:styleId="17">
    <w:name w:val="页眉 Char"/>
    <w:basedOn w:val="13"/>
    <w:link w:val="8"/>
    <w:qFormat/>
    <w:uiPriority w:val="0"/>
    <w:rPr>
      <w:rFonts w:ascii="Calibri" w:hAnsi="Calibri"/>
      <w:kern w:val="2"/>
      <w:sz w:val="18"/>
      <w:szCs w:val="18"/>
    </w:rPr>
  </w:style>
  <w:style w:type="paragraph" w:customStyle="1" w:styleId="18">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9">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2%2023%2024&#39044;&#20915;&#31639;\&#22270;&#34920;&#27169;&#264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026&#24180;\&#39044;&#31639;&#20844;&#24320;\2026&#24180;&#37096;&#38376;&#39044;&#31639;&#20844;&#24320;&#27169;&#26495;\&#22270;&#34920;&#27169;&#26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rgbClr val="595959">
                  <a:lumMod val="65000"/>
                  <a:lumOff val="35000"/>
                </a:srgbClr>
              </a:solidFill>
              <a:latin typeface="+mn-lt"/>
              <a:ea typeface="+mn-ea"/>
              <a:cs typeface="+mn-cs"/>
            </a:defRPr>
          </a:pPr>
        </a:p>
      </c:txPr>
    </c:title>
    <c:autoTitleDeleted val="0"/>
    <c:plotArea>
      <c:layout/>
      <c:pieChart>
        <c:varyColors val="1"/>
        <c:ser>
          <c:idx val="0"/>
          <c:order val="0"/>
          <c:tx>
            <c:strRef>
              <c:f>[图表模板.xlsx]收入!$A$2</c:f>
              <c:strCache>
                <c:ptCount val="1"/>
                <c:pt idx="0">
                  <c:v>收入结构</c:v>
                </c:pt>
              </c:strCache>
            </c:strRef>
          </c:tx>
          <c:spPr/>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Pt>
            <c:idx val="5"/>
            <c:bubble3D val="0"/>
            <c:spPr>
              <a:solidFill>
                <a:srgbClr val="F79646"/>
              </a:solidFill>
              <a:ln w="19050">
                <a:solidFill>
                  <a:srgbClr val="FFFFFF"/>
                </a:solidFill>
              </a:ln>
              <a:effectLst/>
            </c:spPr>
          </c:dPt>
          <c:dPt>
            <c:idx val="6"/>
            <c:bubble3D val="0"/>
            <c:spPr>
              <a:solidFill>
                <a:srgbClr val="2C4D75">
                  <a:lumMod val="60000"/>
                </a:srgbClr>
              </a:solidFill>
              <a:ln w="19050">
                <a:solidFill>
                  <a:srgbClr val="FFFFFF"/>
                </a:solidFill>
              </a:ln>
              <a:effectLst/>
            </c:spPr>
          </c:dPt>
          <c:dPt>
            <c:idx val="7"/>
            <c:bubble3D val="0"/>
            <c:spPr>
              <a:solidFill>
                <a:srgbClr val="772C2A">
                  <a:lumMod val="60000"/>
                </a:srgbClr>
              </a:solidFill>
              <a:ln w="19050">
                <a:solidFill>
                  <a:srgbClr val="FFFFFF"/>
                </a:solidFill>
              </a:ln>
              <a:effectLst/>
            </c:spPr>
          </c:dPt>
          <c:dPt>
            <c:idx val="8"/>
            <c:bubble3D val="0"/>
            <c:spPr>
              <a:solidFill>
                <a:srgbClr val="5F7530">
                  <a:lumMod val="60000"/>
                </a:srgbClr>
              </a:solidFill>
              <a:ln w="19050">
                <a:solidFill>
                  <a:srgbClr val="FFFFFF"/>
                </a:solidFill>
              </a:ln>
              <a:effectLst/>
            </c:spPr>
          </c:dPt>
          <c:dPt>
            <c:idx val="9"/>
            <c:bubble3D val="0"/>
            <c:spPr>
              <a:solidFill>
                <a:srgbClr val="4D3B62">
                  <a:lumMod val="60000"/>
                </a:srgbClr>
              </a:solidFill>
              <a:ln w="19050">
                <a:solidFill>
                  <a:srgbClr val="FFFFFF"/>
                </a:solidFill>
              </a:ln>
              <a:effectLst/>
            </c:spPr>
          </c:dPt>
          <c:dPt>
            <c:idx val="10"/>
            <c:bubble3D val="0"/>
            <c:spPr>
              <a:solidFill>
                <a:srgbClr val="276A7C">
                  <a:lumMod val="60000"/>
                </a:srgbClr>
              </a:solidFill>
              <a:ln w="19050">
                <a:solidFill>
                  <a:srgbClr val="FFFFFF"/>
                </a:solidFill>
              </a:ln>
              <a:effectLst/>
            </c:spPr>
          </c:dPt>
          <c:dPt>
            <c:idx val="11"/>
            <c:bubble3D val="0"/>
            <c:spPr>
              <a:solidFill>
                <a:srgbClr val="B65708">
                  <a:lumMod val="60000"/>
                </a:srgbClr>
              </a:solidFill>
              <a:ln w="19050">
                <a:solidFill>
                  <a:srgbClr val="FFFFFF"/>
                </a:solidFill>
              </a:ln>
              <a:effectLst/>
            </c:spPr>
          </c:dPt>
          <c:dPt>
            <c:idx val="12"/>
            <c:bubble3D val="0"/>
            <c:spPr>
              <a:solidFill>
                <a:srgbClr val="729ACA">
                  <a:lumMod val="80000"/>
                  <a:lumOff val="20000"/>
                </a:srgbClr>
              </a:solidFill>
              <a:ln w="19050">
                <a:solidFill>
                  <a:srgbClr val="FFFFFF"/>
                </a:solidFill>
              </a:ln>
              <a:effectLst/>
            </c:spPr>
          </c:dPt>
          <c:dPt>
            <c:idx val="13"/>
            <c:bubble3D val="0"/>
            <c:spPr>
              <a:solidFill>
                <a:srgbClr val="CD7371">
                  <a:lumMod val="80000"/>
                  <a:lumOff val="20000"/>
                </a:srgbClr>
              </a:solidFill>
              <a:ln w="19050">
                <a:solidFill>
                  <a:srgbClr val="FFFFFF"/>
                </a:solidFill>
              </a:ln>
              <a:effectLst/>
            </c:spPr>
          </c:dPt>
          <c:dLbls>
            <c:dLbl>
              <c:idx val="0"/>
              <c:layout>
                <c:manualLayout>
                  <c:x val="-0.00434208877835228"/>
                  <c:y val="-0.180931139415794"/>
                </c:manualLayout>
              </c:layout>
              <c:tx>
                <c:rich>
                  <a:bodyPr rot="0" spcFirstLastPara="1" vertOverflow="ellipsis" vert="horz" wrap="square" lIns="38100" tIns="19050" rIns="38100" bIns="19050" anchor="ctr" anchorCtr="1"/>
                  <a:lstStyle/>
                  <a:p>
                    <a:pPr defTabSz="914400">
                      <a:defRPr lang="zh-CN" sz="900" b="0" i="0" u="none" strike="noStrike" kern="1200" baseline="0">
                        <a:solidFill>
                          <a:srgbClr val="404040">
                            <a:lumMod val="75000"/>
                            <a:lumOff val="25000"/>
                          </a:srgbClr>
                        </a:solidFill>
                        <a:latin typeface="+mn-lt"/>
                        <a:ea typeface="+mn-ea"/>
                        <a:cs typeface="+mn-cs"/>
                      </a:defRPr>
                    </a:pPr>
                    <a:r>
                      <a:t>一般公共预算收入</a:t>
                    </a:r>
                  </a:p>
                  <a:p>
                    <a:pPr defTabSz="914400">
                      <a:defRPr lang="zh-CN" sz="900" b="0" i="0" u="none" strike="noStrike" kern="1200" baseline="0">
                        <a:solidFill>
                          <a:srgbClr val="404040">
                            <a:lumMod val="75000"/>
                            <a:lumOff val="25000"/>
                          </a:srgbClr>
                        </a:solidFill>
                        <a:latin typeface="+mn-lt"/>
                        <a:ea typeface="+mn-ea"/>
                        <a:cs typeface="+mn-cs"/>
                      </a:defRPr>
                    </a:pPr>
                    <a:r>
                      <a:rPr lang="en-US" altLang="zh-CN"/>
                      <a:t>100%</a:t>
                    </a:r>
                    <a:endParaRPr lang="en-US" altLang="zh-CN"/>
                  </a:p>
                </c:rich>
              </c:tx>
              <c:dLblPos val="bestFit"/>
              <c:showLegendKey val="1"/>
              <c:showVal val="0"/>
              <c:showCatName val="1"/>
              <c:showSerName val="0"/>
              <c:showPercent val="1"/>
              <c:showBubbleSize val="0"/>
              <c:separator>
</c:separator>
              <c:extLst>
                <c:ext xmlns:c15="http://schemas.microsoft.com/office/drawing/2012/chart" uri="{CE6537A1-D6FC-4f65-9D91-7224C49458BB}">
                  <c15:layout>
                    <c:manualLayout>
                      <c:w val="0.25752192513369"/>
                      <c:h val="0.132211538461539"/>
                    </c:manualLayout>
                  </c15:layout>
                </c:ext>
              </c:extLst>
            </c:dLbl>
            <c:dLbl>
              <c:idx val="1"/>
              <c:layout>
                <c:manualLayout>
                  <c:x val="0.0584434365882876"/>
                  <c:y val="0.256652293321854"/>
                </c:manualLayout>
              </c:layout>
              <c:tx>
                <c:rich>
                  <a:bodyPr rot="0" spcFirstLastPara="1" vertOverflow="ellipsis" vert="horz" wrap="square" lIns="38100" tIns="19050" rIns="38100" bIns="19050" anchor="ctr" anchorCtr="1"/>
                  <a:lstStyle/>
                  <a:p>
                    <a:pPr defTabSz="914400">
                      <a:defRPr lang="zh-CN" sz="900" b="0" i="0" u="none" strike="noStrike" kern="1200" baseline="0">
                        <a:solidFill>
                          <a:srgbClr val="404040">
                            <a:lumMod val="75000"/>
                            <a:lumOff val="25000"/>
                          </a:srgbClr>
                        </a:solidFill>
                        <a:latin typeface="+mn-lt"/>
                        <a:ea typeface="+mn-ea"/>
                        <a:cs typeface="+mn-cs"/>
                      </a:defRPr>
                    </a:pPr>
                    <a:r>
                      <a:t>事业收入</a:t>
                    </a:r>
                  </a:p>
                  <a:p>
                    <a:pPr defTabSz="914400">
                      <a:defRPr lang="zh-CN" sz="900" b="0" i="0" u="none" strike="noStrike" kern="1200" baseline="0">
                        <a:solidFill>
                          <a:srgbClr val="404040">
                            <a:lumMod val="75000"/>
                            <a:lumOff val="25000"/>
                          </a:srgbClr>
                        </a:solidFill>
                        <a:latin typeface="+mn-lt"/>
                        <a:ea typeface="+mn-ea"/>
                        <a:cs typeface="+mn-cs"/>
                      </a:defRPr>
                    </a:pPr>
                    <a:r>
                      <a:rPr lang="en-US" altLang="zh-CN"/>
                      <a:t>0.05</a:t>
                    </a:r>
                    <a:r>
                      <a:t>%</a:t>
                    </a:r>
                  </a:p>
                </c:rich>
              </c:tx>
              <c:dLblPos val="bestFit"/>
              <c:showLegendKey val="1"/>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rgbClr val="404040">
                        <a:lumMod val="75000"/>
                        <a:lumOff val="25000"/>
                      </a:srgbClr>
                    </a:solidFill>
                    <a:latin typeface="+mn-lt"/>
                    <a:ea typeface="+mn-ea"/>
                    <a:cs typeface="+mn-cs"/>
                  </a:defRPr>
                </a:pPr>
              </a:p>
            </c:txPr>
            <c:dLblPos val="ctr"/>
            <c:showLegendKey val="1"/>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[图表模板.xlsx]收入!$B$1:$O$1</c:f>
              <c:strCache>
                <c:ptCount val="14"/>
                <c:pt idx="0">
                  <c:v>一般公共预算收入</c:v>
                </c:pt>
                <c:pt idx="1">
                  <c:v>政府性基金预算收入</c:v>
                </c:pt>
                <c:pt idx="2">
                  <c:v>国有资本经营预算收入</c:v>
                </c:pt>
                <c:pt idx="3">
                  <c:v>财政专户管理资金</c:v>
                </c:pt>
                <c:pt idx="4">
                  <c:v>事业收入</c:v>
                </c:pt>
                <c:pt idx="5">
                  <c:v>事业单位经营收入</c:v>
                </c:pt>
                <c:pt idx="6">
                  <c:v>上级补助收入</c:v>
                </c:pt>
                <c:pt idx="7">
                  <c:v>附属单位上缴收入</c:v>
                </c:pt>
                <c:pt idx="8">
                  <c:v>其他收入</c:v>
                </c:pt>
                <c:pt idx="9">
                  <c:v>结转结余的一般公共预算收入</c:v>
                </c:pt>
                <c:pt idx="10">
                  <c:v>结转结余的政府性基金预算收入</c:v>
                </c:pt>
                <c:pt idx="11">
                  <c:v>结转结余的国有资本经营预算收入</c:v>
                </c:pt>
                <c:pt idx="12">
                  <c:v>结转结余的财政专户管理资金</c:v>
                </c:pt>
                <c:pt idx="13">
                  <c:v>结转结余的单位资金</c:v>
                </c:pt>
              </c:strCache>
            </c:strRef>
          </c:cat>
          <c:val>
            <c:numRef>
              <c:f>[图表模板.xlsx]收入!$B$2:$O$2</c:f>
              <c:numCache>
                <c:formatCode>#,##0.00</c:formatCode>
                <c:ptCount val="14"/>
                <c:pt idx="0">
                  <c:v>1602.27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extLst>
      <c:ext uri="{0b15fc19-7d7d-44ad-8c2d-2c3a37ce22c3}">
        <chartProps xmlns="https://web.wps.cn/et/2018/main" chartId="{d76f7f1f-e0ec-4636-b204-e26360742c71}"/>
      </c:ext>
    </c:extLst>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600" b="1" i="0" u="none" strike="noStrike" kern="1200" baseline="0">
              <a:solidFill>
                <a:schemeClr val="tx1">
                  <a:lumMod val="65000"/>
                  <a:lumOff val="35000"/>
                </a:schemeClr>
              </a:solidFill>
              <a:latin typeface="+mn-lt"/>
              <a:ea typeface="+mn-ea"/>
              <a:cs typeface="+mn-cs"/>
            </a:defRPr>
          </a:pPr>
        </a:p>
      </c:txPr>
    </c:title>
    <c:autoTitleDeleted val="0"/>
    <c:view3D>
      <c:rotX val="30"/>
      <c:rotY val="0"/>
      <c:depthPercent val="100"/>
      <c:rAngAx val="0"/>
      <c:perspective val="30"/>
    </c:view3D>
    <c:floor>
      <c:thickness val="0"/>
      <c:spPr>
        <a:noFill/>
        <a:ln>
          <a:noFill/>
        </a:ln>
        <a:effectLst/>
      </c:spPr>
    </c:floor>
    <c:sideWall>
      <c:thickness val="0"/>
      <c:spPr>
        <a:noFill/>
        <a:ln>
          <a:noFill/>
        </a:ln>
        <a:effectLst/>
      </c:spPr>
    </c:sideWall>
    <c:backWall>
      <c:thickness val="0"/>
      <c:spPr>
        <a:noFill/>
        <a:ln>
          <a:noFill/>
        </a:ln>
        <a:effectLst/>
      </c:spPr>
    </c:backWall>
    <c:plotArea>
      <c:layout/>
      <c:pie3DChart>
        <c:varyColors val="1"/>
        <c:ser>
          <c:idx val="0"/>
          <c:order val="0"/>
          <c:tx>
            <c:strRef>
              <c:f>[图表模板.xlsx]支出!$A$2</c:f>
              <c:strCache>
                <c:ptCount val="1"/>
                <c:pt idx="0">
                  <c:v>支出结构</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dLbl>
              <c:idx val="2"/>
              <c:delete val="1"/>
            </c:dLbl>
            <c:spPr>
              <a:noFill/>
              <a:ln>
                <a:noFill/>
              </a:ln>
              <a:effectLst>
                <a:outerShdw dir="4200000" sx="56000" sy="56000" algn="ctr" rotWithShape="0">
                  <a:srgbClr val="000000">
                    <a:alpha val="43137"/>
                  </a:srgbClr>
                </a:outerShdw>
                <a:softEdge rad="12700"/>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[图表模板.xlsx]支出!$B$1:$G$1</c:f>
              <c:strCache>
                <c:ptCount val="6"/>
                <c:pt idx="0">
                  <c:v>基本支出</c:v>
                </c:pt>
                <c:pt idx="1">
                  <c:v>项目支出</c:v>
                </c:pt>
                <c:pt idx="2">
                  <c:v>事业单位经营支出</c:v>
                </c:pt>
                <c:pt idx="3">
                  <c:v>上缴上级支出</c:v>
                </c:pt>
                <c:pt idx="4">
                  <c:v>对附属单位补助支出</c:v>
                </c:pt>
              </c:strCache>
            </c:strRef>
          </c:cat>
          <c:val>
            <c:numRef>
              <c:f>[图表模板.xlsx]支出!$B$2:$G$2</c:f>
              <c:numCache>
                <c:formatCode>#,##0.00</c:formatCode>
                <c:ptCount val="6"/>
                <c:pt idx="0">
                  <c:v>1415.319343</c:v>
                </c:pt>
                <c:pt idx="1">
                  <c:v>135</c:v>
                </c:pt>
                <c:pt idx="2" c:formatCode="General">
                  <c:v>0</c:v>
                </c:pt>
              </c:numCache>
            </c:numRef>
          </c:val>
        </c:ser>
        <c:dLbls>
          <c:showLegendKey val="0"/>
          <c:showVal val="0"/>
          <c:showCatName val="1"/>
          <c:showSerName val="0"/>
          <c:showPercent val="0"/>
          <c:showBubbleSize val="0"/>
        </c:dLbls>
      </c:pie3DChart>
      <c:spPr>
        <a:noFill/>
        <a:ln>
          <a:noFill/>
        </a:ln>
        <a:effectLst/>
      </c:spPr>
    </c:plotArea>
    <c:legend>
      <c:legendPos val="b"/>
      <c:legendEntry>
        <c:idx val="5"/>
        <c:delete val="1"/>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c6333ab-81a8-478d-b9d2-3cffb5dd28a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7269</Words>
  <Characters>7964</Characters>
  <Lines>55</Lines>
  <Paragraphs>15</Paragraphs>
  <TotalTime>51</TotalTime>
  <ScaleCrop>false</ScaleCrop>
  <LinksUpToDate>false</LinksUpToDate>
  <CharactersWithSpaces>7988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2023-01-09T01:51:00Z</dcterms:created>
  <dc:creator>606N</dc:creator>
  <cp:lastModifiedBy>贺佳</cp:lastModifiedBy>
  <dcterms:modified xsi:type="dcterms:W3CDTF">2026-03-04T01:38:30Z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380FD7C29CA641FBB0F75A39A19153B3_13</vt:lpwstr>
  </property>
  <property fmtid="{D5CDD505-2E9C-101B-9397-08002B2CF9AE}" pid="4" name="KSOTemplateDocerSaveRecord">
    <vt:lpwstr>eyJoZGlkIjoiMjc3YTE1OGFhYTQ4ZjRmZDhiNzVjYjgxZDcwMGMwYzAiLCJ1c2VySWQiOiIyNDAwMjA4OTAifQ==</vt:lpwstr>
  </property>
</Properties>
</file>