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D1CF3C">
      <w:pPr>
        <w:keepNext w:val="0"/>
        <w:keepLines w:val="0"/>
        <w:pageBreakBefore w:val="0"/>
        <w:widowControl w:val="0"/>
        <w:suppressLineNumbers w:val="0"/>
        <w:kinsoku/>
        <w:wordWrap/>
        <w:overflowPunct/>
        <w:topLinePunct w:val="0"/>
        <w:autoSpaceDE w:val="0"/>
        <w:autoSpaceDN w:val="0"/>
        <w:bidi w:val="0"/>
        <w:adjustRightInd w:val="0"/>
        <w:snapToGrid w:val="0"/>
        <w:spacing w:line="540" w:lineRule="exact"/>
        <w:jc w:val="both"/>
        <w:textAlignment w:val="baseline"/>
        <w:rPr>
          <w:rFonts w:hint="default" w:ascii="Times New Roman" w:hAnsi="Times New Roman" w:eastAsia="黑体" w:cs="Times New Roman"/>
          <w:snapToGrid w:val="0"/>
          <w:color w:val="000000"/>
          <w:spacing w:val="0"/>
          <w:kern w:val="0"/>
          <w:sz w:val="32"/>
          <w:szCs w:val="32"/>
          <w:lang w:val="en-US" w:eastAsia="zh-CN" w:bidi="ar"/>
        </w:rPr>
      </w:pPr>
      <w:r>
        <w:rPr>
          <w:rFonts w:hint="default" w:ascii="Times New Roman" w:hAnsi="Times New Roman" w:eastAsia="黑体" w:cs="Times New Roman"/>
          <w:snapToGrid w:val="0"/>
          <w:color w:val="000000"/>
          <w:spacing w:val="0"/>
          <w:kern w:val="0"/>
          <w:sz w:val="32"/>
          <w:szCs w:val="32"/>
          <w:lang w:val="en-US" w:eastAsia="zh-CN" w:bidi="ar"/>
        </w:rPr>
        <w:t>附件</w:t>
      </w:r>
      <w:r>
        <w:rPr>
          <w:rFonts w:hint="eastAsia" w:ascii="Times New Roman" w:hAnsi="Times New Roman" w:eastAsia="黑体" w:cs="Times New Roman"/>
          <w:snapToGrid w:val="0"/>
          <w:color w:val="000000"/>
          <w:spacing w:val="0"/>
          <w:kern w:val="0"/>
          <w:sz w:val="32"/>
          <w:szCs w:val="32"/>
          <w:lang w:val="en-US" w:eastAsia="zh-CN" w:bidi="ar"/>
        </w:rPr>
        <w:t>2</w:t>
      </w:r>
    </w:p>
    <w:p w14:paraId="0BF845B2">
      <w:pPr>
        <w:keepNext w:val="0"/>
        <w:keepLines w:val="0"/>
        <w:pageBreakBefore w:val="0"/>
        <w:widowControl w:val="0"/>
        <w:suppressLineNumbers w:val="0"/>
        <w:kinsoku/>
        <w:wordWrap/>
        <w:overflowPunct/>
        <w:topLinePunct w:val="0"/>
        <w:autoSpaceDE w:val="0"/>
        <w:autoSpaceDN w:val="0"/>
        <w:bidi w:val="0"/>
        <w:adjustRightInd w:val="0"/>
        <w:snapToGrid w:val="0"/>
        <w:spacing w:line="540" w:lineRule="exact"/>
        <w:jc w:val="center"/>
        <w:textAlignment w:val="baseline"/>
        <w:rPr>
          <w:rFonts w:hint="default" w:ascii="Times New Roman" w:hAnsi="Times New Roman" w:eastAsia="方正小标宋简体" w:cs="Times New Roman"/>
          <w:snapToGrid w:val="0"/>
          <w:color w:val="000000"/>
          <w:spacing w:val="0"/>
          <w:kern w:val="0"/>
          <w:sz w:val="44"/>
          <w:szCs w:val="44"/>
          <w:lang w:val="en-US" w:eastAsia="zh-CN" w:bidi="ar"/>
        </w:rPr>
      </w:pPr>
    </w:p>
    <w:p w14:paraId="48D29A65">
      <w:pPr>
        <w:keepNext w:val="0"/>
        <w:keepLines w:val="0"/>
        <w:pageBreakBefore w:val="0"/>
        <w:widowControl w:val="0"/>
        <w:suppressLineNumbers w:val="0"/>
        <w:kinsoku/>
        <w:wordWrap/>
        <w:overflowPunct/>
        <w:topLinePunct w:val="0"/>
        <w:autoSpaceDE w:val="0"/>
        <w:autoSpaceDN w:val="0"/>
        <w:bidi w:val="0"/>
        <w:adjustRightInd w:val="0"/>
        <w:snapToGrid w:val="0"/>
        <w:spacing w:line="540" w:lineRule="exact"/>
        <w:jc w:val="center"/>
        <w:textAlignment w:val="baseline"/>
        <w:rPr>
          <w:rFonts w:hint="default" w:ascii="Times New Roman" w:hAnsi="Times New Roman" w:eastAsia="方正小标宋简体" w:cs="Times New Roman"/>
          <w:snapToGrid w:val="0"/>
          <w:color w:val="000000"/>
          <w:spacing w:val="0"/>
          <w:kern w:val="0"/>
          <w:sz w:val="44"/>
          <w:szCs w:val="44"/>
          <w:lang w:val="en-US" w:eastAsia="zh-CN" w:bidi="ar"/>
        </w:rPr>
      </w:pPr>
      <w:r>
        <w:rPr>
          <w:rFonts w:hint="default" w:ascii="Times New Roman" w:hAnsi="Times New Roman" w:eastAsia="方正小标宋简体" w:cs="Times New Roman"/>
          <w:snapToGrid w:val="0"/>
          <w:color w:val="000000"/>
          <w:spacing w:val="0"/>
          <w:kern w:val="0"/>
          <w:sz w:val="44"/>
          <w:szCs w:val="44"/>
          <w:lang w:val="en-US" w:eastAsia="zh-CN" w:bidi="ar"/>
        </w:rPr>
        <w:t>乌海市中小学生研学旅行机构和基地（营地）</w:t>
      </w:r>
    </w:p>
    <w:p w14:paraId="58AD5C36">
      <w:pPr>
        <w:keepNext w:val="0"/>
        <w:keepLines w:val="0"/>
        <w:pageBreakBefore w:val="0"/>
        <w:widowControl w:val="0"/>
        <w:suppressLineNumbers w:val="0"/>
        <w:kinsoku/>
        <w:wordWrap/>
        <w:overflowPunct/>
        <w:topLinePunct w:val="0"/>
        <w:autoSpaceDE w:val="0"/>
        <w:autoSpaceDN w:val="0"/>
        <w:bidi w:val="0"/>
        <w:adjustRightInd w:val="0"/>
        <w:snapToGrid w:val="0"/>
        <w:spacing w:line="540" w:lineRule="exact"/>
        <w:jc w:val="center"/>
        <w:textAlignment w:val="baseline"/>
        <w:rPr>
          <w:rFonts w:hint="default" w:ascii="Times New Roman" w:hAnsi="Times New Roman" w:eastAsia="方正小标宋简体" w:cs="Times New Roman"/>
          <w:snapToGrid w:val="0"/>
          <w:color w:val="000000"/>
          <w:spacing w:val="0"/>
          <w:kern w:val="0"/>
          <w:sz w:val="44"/>
          <w:szCs w:val="44"/>
          <w:lang w:val="en-US" w:eastAsia="zh-CN" w:bidi="ar"/>
        </w:rPr>
      </w:pPr>
      <w:r>
        <w:rPr>
          <w:rFonts w:hint="default" w:ascii="Times New Roman" w:hAnsi="Times New Roman" w:eastAsia="方正小标宋简体" w:cs="Times New Roman"/>
          <w:snapToGrid w:val="0"/>
          <w:color w:val="000000"/>
          <w:spacing w:val="0"/>
          <w:kern w:val="0"/>
          <w:sz w:val="44"/>
          <w:szCs w:val="44"/>
          <w:lang w:val="en-US" w:eastAsia="zh-CN" w:bidi="ar"/>
        </w:rPr>
        <w:t>评分标准</w:t>
      </w:r>
    </w:p>
    <w:p w14:paraId="0F93BD8B">
      <w:pPr>
        <w:pStyle w:val="4"/>
        <w:keepNext w:val="0"/>
        <w:keepLines w:val="0"/>
        <w:pageBreakBefore w:val="0"/>
        <w:wordWrap/>
        <w:overflowPunct/>
        <w:topLinePunct w:val="0"/>
        <w:autoSpaceDE w:val="0"/>
        <w:autoSpaceDN w:val="0"/>
        <w:bidi w:val="0"/>
        <w:adjustRightInd w:val="0"/>
        <w:snapToGrid w:val="0"/>
        <w:spacing w:line="360" w:lineRule="exact"/>
        <w:textAlignment w:val="baseline"/>
        <w:rPr>
          <w:rFonts w:hint="default" w:ascii="Times New Roman" w:hAnsi="Times New Roman" w:eastAsia="宋体" w:cs="Times New Roman"/>
          <w:b/>
          <w:sz w:val="28"/>
          <w:szCs w:val="28"/>
        </w:rPr>
      </w:pPr>
    </w:p>
    <w:tbl>
      <w:tblPr>
        <w:tblStyle w:val="6"/>
        <w:tblpPr w:leftFromText="180" w:rightFromText="180" w:vertAnchor="text" w:horzAnchor="page" w:tblpX="1457" w:tblpY="174"/>
        <w:tblOverlap w:val="never"/>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877"/>
        <w:gridCol w:w="3531"/>
        <w:gridCol w:w="3577"/>
      </w:tblGrid>
      <w:tr w14:paraId="4963B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1195" w:type="dxa"/>
            <w:tcBorders>
              <w:top w:val="single" w:color="auto" w:sz="4" w:space="0"/>
              <w:left w:val="single" w:color="auto" w:sz="4" w:space="0"/>
              <w:bottom w:val="single" w:color="auto" w:sz="4" w:space="0"/>
              <w:right w:val="single" w:color="auto" w:sz="4" w:space="0"/>
            </w:tcBorders>
            <w:shd w:val="clear" w:color="auto" w:fill="auto"/>
            <w:vAlign w:val="center"/>
          </w:tcPr>
          <w:p w14:paraId="1F9A2400">
            <w:pPr>
              <w:keepNext w:val="0"/>
              <w:keepLines w:val="0"/>
              <w:pageBreakBefore w:val="0"/>
              <w:kinsoku/>
              <w:wordWrap/>
              <w:overflowPunct/>
              <w:topLinePunct w:val="0"/>
              <w:autoSpaceDE w:val="0"/>
              <w:autoSpaceDN w:val="0"/>
              <w:bidi w:val="0"/>
              <w:adjustRightInd w:val="0"/>
              <w:snapToGrid w:val="0"/>
              <w:spacing w:before="20" w:after="20" w:line="320" w:lineRule="exact"/>
              <w:textAlignment w:val="baseline"/>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lang w:bidi="ar"/>
              </w:rPr>
              <w:t>评分内容</w:t>
            </w:r>
          </w:p>
        </w:tc>
        <w:tc>
          <w:tcPr>
            <w:tcW w:w="877" w:type="dxa"/>
            <w:tcBorders>
              <w:top w:val="single" w:color="auto" w:sz="4" w:space="0"/>
              <w:left w:val="single" w:color="auto" w:sz="4" w:space="0"/>
              <w:bottom w:val="single" w:color="auto" w:sz="4" w:space="0"/>
              <w:right w:val="single" w:color="auto" w:sz="4" w:space="0"/>
            </w:tcBorders>
            <w:shd w:val="clear" w:color="auto" w:fill="auto"/>
            <w:vAlign w:val="center"/>
          </w:tcPr>
          <w:p w14:paraId="7BF88546">
            <w:pPr>
              <w:keepNext w:val="0"/>
              <w:keepLines w:val="0"/>
              <w:pageBreakBefore w:val="0"/>
              <w:kinsoku/>
              <w:wordWrap/>
              <w:overflowPunct/>
              <w:topLinePunct w:val="0"/>
              <w:autoSpaceDE w:val="0"/>
              <w:autoSpaceDN w:val="0"/>
              <w:bidi w:val="0"/>
              <w:adjustRightInd w:val="0"/>
              <w:snapToGrid w:val="0"/>
              <w:spacing w:before="20" w:after="20" w:line="320" w:lineRule="exact"/>
              <w:jc w:val="center"/>
              <w:textAlignment w:val="baseline"/>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lang w:bidi="ar"/>
              </w:rPr>
              <w:t>分值</w:t>
            </w:r>
          </w:p>
        </w:tc>
        <w:tc>
          <w:tcPr>
            <w:tcW w:w="3531" w:type="dxa"/>
            <w:tcBorders>
              <w:top w:val="single" w:color="auto" w:sz="4" w:space="0"/>
              <w:left w:val="single" w:color="auto" w:sz="4" w:space="0"/>
              <w:bottom w:val="single" w:color="auto" w:sz="4" w:space="0"/>
              <w:right w:val="single" w:color="auto" w:sz="4" w:space="0"/>
            </w:tcBorders>
            <w:shd w:val="clear" w:color="auto" w:fill="auto"/>
            <w:vAlign w:val="center"/>
          </w:tcPr>
          <w:p w14:paraId="48F674C3">
            <w:pPr>
              <w:keepNext w:val="0"/>
              <w:keepLines w:val="0"/>
              <w:pageBreakBefore w:val="0"/>
              <w:kinsoku/>
              <w:wordWrap/>
              <w:overflowPunct/>
              <w:topLinePunct w:val="0"/>
              <w:autoSpaceDE w:val="0"/>
              <w:autoSpaceDN w:val="0"/>
              <w:bidi w:val="0"/>
              <w:adjustRightInd w:val="0"/>
              <w:snapToGrid w:val="0"/>
              <w:spacing w:before="20" w:after="20" w:line="320" w:lineRule="exact"/>
              <w:jc w:val="center"/>
              <w:textAlignment w:val="baseline"/>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lang w:bidi="ar"/>
              </w:rPr>
              <w:t>说明</w:t>
            </w:r>
          </w:p>
        </w:tc>
        <w:tc>
          <w:tcPr>
            <w:tcW w:w="3577" w:type="dxa"/>
            <w:tcBorders>
              <w:top w:val="single" w:color="auto" w:sz="4" w:space="0"/>
              <w:left w:val="single" w:color="auto" w:sz="4" w:space="0"/>
              <w:bottom w:val="single" w:color="auto" w:sz="4" w:space="0"/>
              <w:right w:val="single" w:color="auto" w:sz="4" w:space="0"/>
            </w:tcBorders>
            <w:vAlign w:val="center"/>
          </w:tcPr>
          <w:p w14:paraId="0958E290">
            <w:pPr>
              <w:keepNext w:val="0"/>
              <w:keepLines w:val="0"/>
              <w:pageBreakBefore w:val="0"/>
              <w:kinsoku/>
              <w:wordWrap/>
              <w:overflowPunct/>
              <w:topLinePunct w:val="0"/>
              <w:autoSpaceDE w:val="0"/>
              <w:autoSpaceDN w:val="0"/>
              <w:bidi w:val="0"/>
              <w:adjustRightInd w:val="0"/>
              <w:snapToGrid w:val="0"/>
              <w:spacing w:before="20" w:after="20" w:line="320" w:lineRule="exact"/>
              <w:jc w:val="center"/>
              <w:textAlignment w:val="baseline"/>
              <w:rPr>
                <w:rFonts w:hint="default" w:ascii="Times New Roman" w:hAnsi="Times New Roman" w:eastAsia="黑体" w:cs="Times New Roman"/>
                <w:b w:val="0"/>
                <w:bCs/>
                <w:sz w:val="24"/>
                <w:szCs w:val="24"/>
                <w:lang w:bidi="ar"/>
              </w:rPr>
            </w:pPr>
            <w:r>
              <w:rPr>
                <w:rFonts w:hint="default" w:ascii="Times New Roman" w:hAnsi="Times New Roman" w:eastAsia="黑体" w:cs="Times New Roman"/>
                <w:b w:val="0"/>
                <w:bCs/>
                <w:sz w:val="24"/>
                <w:szCs w:val="24"/>
                <w:lang w:bidi="ar"/>
              </w:rPr>
              <w:t>制定依据</w:t>
            </w:r>
          </w:p>
        </w:tc>
      </w:tr>
      <w:tr w14:paraId="2635D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84" w:hRule="atLeast"/>
        </w:trPr>
        <w:tc>
          <w:tcPr>
            <w:tcW w:w="1195" w:type="dxa"/>
            <w:tcBorders>
              <w:top w:val="single" w:color="auto" w:sz="4" w:space="0"/>
              <w:left w:val="single" w:color="auto" w:sz="4" w:space="0"/>
              <w:bottom w:val="single" w:color="auto" w:sz="4" w:space="0"/>
              <w:right w:val="single" w:color="auto" w:sz="4" w:space="0"/>
            </w:tcBorders>
            <w:shd w:val="clear" w:color="auto" w:fill="auto"/>
            <w:vAlign w:val="center"/>
          </w:tcPr>
          <w:p w14:paraId="61F20AF3">
            <w:pPr>
              <w:keepNext w:val="0"/>
              <w:keepLines w:val="0"/>
              <w:pageBreakBefore w:val="0"/>
              <w:widowControl/>
              <w:kinsoku/>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黑体" w:cs="Times New Roman"/>
                <w:kern w:val="0"/>
                <w:sz w:val="24"/>
                <w:szCs w:val="24"/>
              </w:rPr>
            </w:pPr>
            <w:r>
              <w:rPr>
                <w:rFonts w:hint="default" w:ascii="Times New Roman" w:hAnsi="Times New Roman" w:eastAsia="黑体" w:cs="Times New Roman"/>
                <w:kern w:val="0"/>
                <w:sz w:val="24"/>
                <w:szCs w:val="24"/>
                <w:lang w:bidi="ar"/>
              </w:rPr>
              <w:t>研学课程体系</w:t>
            </w:r>
          </w:p>
        </w:tc>
        <w:tc>
          <w:tcPr>
            <w:tcW w:w="877" w:type="dxa"/>
            <w:tcBorders>
              <w:top w:val="single" w:color="auto" w:sz="4" w:space="0"/>
              <w:left w:val="single" w:color="auto" w:sz="4" w:space="0"/>
              <w:bottom w:val="single" w:color="auto" w:sz="4" w:space="0"/>
              <w:right w:val="single" w:color="auto" w:sz="4" w:space="0"/>
            </w:tcBorders>
            <w:shd w:val="clear" w:color="auto" w:fill="auto"/>
            <w:vAlign w:val="center"/>
          </w:tcPr>
          <w:p w14:paraId="1E387407">
            <w:pPr>
              <w:keepNext w:val="0"/>
              <w:keepLines w:val="0"/>
              <w:pageBreakBefore w:val="0"/>
              <w:widowControl/>
              <w:kinsoku/>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bidi="ar"/>
              </w:rPr>
              <w:t>6</w:t>
            </w:r>
            <w:r>
              <w:rPr>
                <w:rFonts w:hint="default" w:ascii="Times New Roman" w:hAnsi="Times New Roman" w:eastAsia="仿宋_GB2312" w:cs="Times New Roman"/>
                <w:color w:val="000000"/>
                <w:sz w:val="24"/>
                <w:szCs w:val="24"/>
                <w:lang w:bidi="ar"/>
              </w:rPr>
              <w:t>0分</w:t>
            </w:r>
          </w:p>
        </w:tc>
        <w:tc>
          <w:tcPr>
            <w:tcW w:w="3531" w:type="dxa"/>
            <w:tcBorders>
              <w:top w:val="single" w:color="auto" w:sz="4" w:space="0"/>
              <w:left w:val="single" w:color="auto" w:sz="4" w:space="0"/>
              <w:bottom w:val="single" w:color="auto" w:sz="4" w:space="0"/>
              <w:right w:val="single" w:color="auto" w:sz="4" w:space="0"/>
            </w:tcBorders>
            <w:shd w:val="clear" w:color="auto" w:fill="auto"/>
          </w:tcPr>
          <w:p w14:paraId="6B863132">
            <w:pPr>
              <w:keepNext w:val="0"/>
              <w:keepLines w:val="0"/>
              <w:pageBreakBefore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申请方应提供详尽的服务方案，要求服务方案有针对性，满足学校课程需求，贴合学校办学理念，课程呈现完整的体系。</w:t>
            </w:r>
          </w:p>
          <w:p w14:paraId="67AA22F3">
            <w:pPr>
              <w:keepNext w:val="0"/>
              <w:keepLines w:val="0"/>
              <w:pageBreakBefore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rPr>
              <w:t>课程结合学校的办学理念及特色</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定制化设计</w:t>
            </w:r>
            <w:r>
              <w:rPr>
                <w:rFonts w:hint="eastAsia"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0</w:t>
            </w:r>
            <w:r>
              <w:rPr>
                <w:rFonts w:hint="eastAsia" w:ascii="Times New Roman" w:hAnsi="Times New Roman" w:eastAsia="仿宋_GB2312" w:cs="Times New Roman"/>
                <w:sz w:val="24"/>
                <w:szCs w:val="24"/>
                <w:lang w:val="en-US" w:eastAsia="zh-CN"/>
              </w:rPr>
              <w:t>—</w:t>
            </w:r>
            <w:r>
              <w:rPr>
                <w:rFonts w:hint="default" w:ascii="Times New Roman" w:hAnsi="Times New Roman" w:eastAsia="仿宋_GB2312" w:cs="Times New Roman"/>
                <w:sz w:val="24"/>
                <w:szCs w:val="24"/>
                <w:lang w:val="en-US" w:eastAsia="zh-CN"/>
              </w:rPr>
              <w:t>12</w:t>
            </w:r>
            <w:r>
              <w:rPr>
                <w:rFonts w:hint="default" w:ascii="Times New Roman" w:hAnsi="Times New Roman" w:eastAsia="仿宋_GB2312" w:cs="Times New Roman"/>
                <w:sz w:val="24"/>
                <w:szCs w:val="24"/>
              </w:rPr>
              <w:t>分</w:t>
            </w:r>
          </w:p>
          <w:p w14:paraId="61DA0516">
            <w:pPr>
              <w:pStyle w:val="4"/>
              <w:keepNext w:val="0"/>
              <w:keepLines w:val="0"/>
              <w:pageBreakBefore w:val="0"/>
              <w:numPr>
                <w:ilvl w:val="0"/>
                <w:numId w:val="0"/>
              </w:numPr>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rPr>
              <w:t>整体方案统筹安排，呈延续性</w:t>
            </w:r>
            <w:r>
              <w:rPr>
                <w:rFonts w:hint="eastAsia"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0</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12</w:t>
            </w:r>
            <w:r>
              <w:rPr>
                <w:rFonts w:hint="default" w:ascii="Times New Roman" w:hAnsi="Times New Roman" w:eastAsia="仿宋_GB2312" w:cs="Times New Roman"/>
                <w:sz w:val="24"/>
                <w:szCs w:val="24"/>
              </w:rPr>
              <w:t>分</w:t>
            </w:r>
          </w:p>
          <w:p w14:paraId="19CD9A57">
            <w:pPr>
              <w:pStyle w:val="4"/>
              <w:keepNext w:val="0"/>
              <w:keepLines w:val="0"/>
              <w:pageBreakBefore w:val="0"/>
              <w:numPr>
                <w:ilvl w:val="0"/>
                <w:numId w:val="0"/>
              </w:numPr>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lang w:eastAsia="zh-CN"/>
              </w:rPr>
              <w:t>注重教育性、实践性、趣味性的有机统一，严防“重旅行、轻研学”</w:t>
            </w:r>
            <w:r>
              <w:rPr>
                <w:rFonts w:hint="default" w:ascii="Times New Roman" w:hAnsi="Times New Roman" w:eastAsia="仿宋_GB2312" w:cs="Times New Roman"/>
                <w:sz w:val="24"/>
                <w:szCs w:val="24"/>
              </w:rPr>
              <w:t>0</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12</w:t>
            </w:r>
            <w:r>
              <w:rPr>
                <w:rFonts w:hint="default" w:ascii="Times New Roman" w:hAnsi="Times New Roman" w:eastAsia="仿宋_GB2312" w:cs="Times New Roman"/>
                <w:sz w:val="24"/>
                <w:szCs w:val="24"/>
              </w:rPr>
              <w:t>分</w:t>
            </w:r>
          </w:p>
          <w:p w14:paraId="08119286">
            <w:pPr>
              <w:pStyle w:val="4"/>
              <w:keepNext w:val="0"/>
              <w:keepLines w:val="0"/>
              <w:pageBreakBefore w:val="0"/>
              <w:numPr>
                <w:ilvl w:val="0"/>
                <w:numId w:val="0"/>
              </w:numPr>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rPr>
              <w:t>动手实践活动丰富</w:t>
            </w:r>
            <w:r>
              <w:rPr>
                <w:rFonts w:hint="eastAsia"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0-</w:t>
            </w:r>
            <w:r>
              <w:rPr>
                <w:rFonts w:hint="default" w:ascii="Times New Roman" w:hAnsi="Times New Roman" w:eastAsia="仿宋_GB2312" w:cs="Times New Roman"/>
                <w:sz w:val="24"/>
                <w:szCs w:val="24"/>
                <w:lang w:val="en-US" w:eastAsia="zh-CN"/>
              </w:rPr>
              <w:t>12</w:t>
            </w:r>
            <w:r>
              <w:rPr>
                <w:rFonts w:hint="default" w:ascii="Times New Roman" w:hAnsi="Times New Roman" w:eastAsia="仿宋_GB2312" w:cs="Times New Roman"/>
                <w:sz w:val="24"/>
                <w:szCs w:val="24"/>
              </w:rPr>
              <w:t>分</w:t>
            </w:r>
          </w:p>
          <w:p w14:paraId="48BDB65B">
            <w:pPr>
              <w:pStyle w:val="4"/>
              <w:keepNext w:val="0"/>
              <w:keepLines w:val="0"/>
              <w:pageBreakBefore w:val="0"/>
              <w:numPr>
                <w:ilvl w:val="0"/>
                <w:numId w:val="0"/>
              </w:numPr>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5.</w:t>
            </w:r>
            <w:r>
              <w:rPr>
                <w:rFonts w:hint="default" w:ascii="Times New Roman" w:hAnsi="Times New Roman" w:eastAsia="仿宋_GB2312" w:cs="Times New Roman"/>
                <w:sz w:val="24"/>
                <w:szCs w:val="24"/>
              </w:rPr>
              <w:t>课程安排具有合理性、主题突出</w:t>
            </w:r>
            <w:r>
              <w:rPr>
                <w:rFonts w:hint="eastAsia"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0</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12</w:t>
            </w:r>
            <w:r>
              <w:rPr>
                <w:rFonts w:hint="default" w:ascii="Times New Roman" w:hAnsi="Times New Roman" w:eastAsia="仿宋_GB2312" w:cs="Times New Roman"/>
                <w:sz w:val="24"/>
                <w:szCs w:val="24"/>
              </w:rPr>
              <w:t>分</w:t>
            </w:r>
          </w:p>
          <w:p w14:paraId="5212AE42">
            <w:pPr>
              <w:pStyle w:val="4"/>
              <w:keepNext w:val="0"/>
              <w:keepLines w:val="0"/>
              <w:pageBreakBefore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备注：区别旅游化方案，</w:t>
            </w:r>
            <w:r>
              <w:rPr>
                <w:rFonts w:hint="eastAsia" w:ascii="Times New Roman" w:hAnsi="Times New Roman" w:eastAsia="仿宋_GB2312" w:cs="Times New Roman"/>
                <w:sz w:val="24"/>
                <w:szCs w:val="24"/>
                <w:lang w:eastAsia="zh-CN"/>
              </w:rPr>
              <w:t>以</w:t>
            </w:r>
            <w:r>
              <w:rPr>
                <w:rFonts w:hint="default" w:ascii="Times New Roman" w:hAnsi="Times New Roman" w:eastAsia="仿宋_GB2312" w:cs="Times New Roman"/>
                <w:sz w:val="24"/>
                <w:szCs w:val="24"/>
              </w:rPr>
              <w:t>研究性学习为主，</w:t>
            </w:r>
            <w:r>
              <w:rPr>
                <w:rFonts w:hint="default" w:ascii="Times New Roman" w:hAnsi="Times New Roman" w:eastAsia="仿宋_GB2312" w:cs="Times New Roman"/>
                <w:b/>
                <w:bCs/>
                <w:sz w:val="24"/>
                <w:szCs w:val="24"/>
                <w:lang w:eastAsia="zh-CN"/>
              </w:rPr>
              <w:t>需按学段</w:t>
            </w:r>
            <w:r>
              <w:rPr>
                <w:rFonts w:hint="default" w:ascii="Times New Roman" w:hAnsi="Times New Roman" w:eastAsia="仿宋_GB2312" w:cs="Times New Roman"/>
                <w:b/>
                <w:bCs/>
                <w:sz w:val="24"/>
                <w:szCs w:val="24"/>
                <w:lang w:val="en-US" w:eastAsia="zh-CN"/>
              </w:rPr>
              <w:t>提供课程设计，</w:t>
            </w:r>
            <w:r>
              <w:rPr>
                <w:rFonts w:hint="default" w:ascii="Times New Roman" w:hAnsi="Times New Roman" w:eastAsia="仿宋_GB2312" w:cs="Times New Roman"/>
                <w:sz w:val="24"/>
                <w:szCs w:val="24"/>
              </w:rPr>
              <w:t>所有分值依照提供材料酌情给分</w:t>
            </w:r>
          </w:p>
        </w:tc>
        <w:tc>
          <w:tcPr>
            <w:tcW w:w="3577" w:type="dxa"/>
            <w:tcBorders>
              <w:top w:val="single" w:color="auto" w:sz="4" w:space="0"/>
              <w:left w:val="single" w:color="auto" w:sz="4" w:space="0"/>
              <w:bottom w:val="single" w:color="auto" w:sz="4" w:space="0"/>
              <w:right w:val="single" w:color="auto" w:sz="4" w:space="0"/>
            </w:tcBorders>
          </w:tcPr>
          <w:p w14:paraId="43F1C563">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jc w:val="left"/>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依据《国家旅游局研学旅行服务规范》中：</w:t>
            </w:r>
          </w:p>
          <w:p w14:paraId="31DF5524">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jc w:val="left"/>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8.1.1教育服务计划：承办方和主办方应围绕学校相关教育目标，共同制定研学旅行教育服务计划，明确教育活动目标和内容，针对不同学龄段学生提出相应学时要求，其中每天体验教育课程项目或活动时间应不少于45min。</w:t>
            </w:r>
          </w:p>
          <w:p w14:paraId="7B162772">
            <w:pPr>
              <w:keepNext w:val="0"/>
              <w:keepLines w:val="0"/>
              <w:pageBreakBefore w:val="0"/>
              <w:kinsoku/>
              <w:wordWrap/>
              <w:overflowPunct/>
              <w:topLinePunct w:val="0"/>
              <w:autoSpaceDE w:val="0"/>
              <w:autoSpaceDN w:val="0"/>
              <w:bidi w:val="0"/>
              <w:adjustRightInd w:val="0"/>
              <w:snapToGrid w:val="0"/>
              <w:spacing w:line="320" w:lineRule="exact"/>
              <w:textAlignment w:val="baseline"/>
              <w:rPr>
                <w:rFonts w:hint="default" w:ascii="Times New Roman" w:hAnsi="Times New Roman" w:eastAsia="仿宋_GB2312" w:cs="Times New Roman"/>
                <w:sz w:val="24"/>
                <w:szCs w:val="24"/>
              </w:rPr>
            </w:pPr>
          </w:p>
        </w:tc>
      </w:tr>
      <w:tr w14:paraId="09E92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trPr>
        <w:tc>
          <w:tcPr>
            <w:tcW w:w="1195" w:type="dxa"/>
            <w:tcBorders>
              <w:top w:val="single" w:color="auto" w:sz="4" w:space="0"/>
              <w:left w:val="single" w:color="auto" w:sz="4" w:space="0"/>
              <w:bottom w:val="single" w:color="auto" w:sz="4" w:space="0"/>
              <w:right w:val="single" w:color="auto" w:sz="4" w:space="0"/>
            </w:tcBorders>
            <w:shd w:val="clear" w:color="auto" w:fill="auto"/>
            <w:vAlign w:val="center"/>
          </w:tcPr>
          <w:p w14:paraId="7BE205AF">
            <w:pPr>
              <w:keepNext w:val="0"/>
              <w:keepLines w:val="0"/>
              <w:pageBreakBefore w:val="0"/>
              <w:widowControl/>
              <w:kinsoku/>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sz w:val="24"/>
                <w:szCs w:val="24"/>
                <w:lang w:bidi="ar"/>
              </w:rPr>
              <w:t>应急预案</w:t>
            </w:r>
          </w:p>
        </w:tc>
        <w:tc>
          <w:tcPr>
            <w:tcW w:w="877" w:type="dxa"/>
            <w:tcBorders>
              <w:top w:val="single" w:color="auto" w:sz="4" w:space="0"/>
              <w:left w:val="single" w:color="auto" w:sz="4" w:space="0"/>
              <w:bottom w:val="single" w:color="auto" w:sz="4" w:space="0"/>
              <w:right w:val="single" w:color="auto" w:sz="4" w:space="0"/>
            </w:tcBorders>
            <w:shd w:val="clear" w:color="auto" w:fill="auto"/>
            <w:vAlign w:val="center"/>
          </w:tcPr>
          <w:p w14:paraId="5D14A8B8">
            <w:pPr>
              <w:keepNext w:val="0"/>
              <w:keepLines w:val="0"/>
              <w:pageBreakBefore w:val="0"/>
              <w:widowControl/>
              <w:kinsoku/>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bidi="ar"/>
              </w:rPr>
              <w:t>10分</w:t>
            </w:r>
          </w:p>
        </w:tc>
        <w:tc>
          <w:tcPr>
            <w:tcW w:w="3531" w:type="dxa"/>
            <w:tcBorders>
              <w:top w:val="single" w:color="auto" w:sz="4" w:space="0"/>
              <w:left w:val="single" w:color="auto" w:sz="4" w:space="0"/>
              <w:bottom w:val="single" w:color="auto" w:sz="4" w:space="0"/>
              <w:right w:val="single" w:color="auto" w:sz="4" w:space="0"/>
            </w:tcBorders>
            <w:shd w:val="clear" w:color="auto" w:fill="auto"/>
            <w:vAlign w:val="center"/>
          </w:tcPr>
          <w:p w14:paraId="6FA315A4">
            <w:pPr>
              <w:keepNext w:val="0"/>
              <w:keepLines w:val="0"/>
              <w:pageBreakBefore w:val="0"/>
              <w:widowControl/>
              <w:kinsoku/>
              <w:wordWrap/>
              <w:overflowPunct/>
              <w:topLinePunct w:val="0"/>
              <w:autoSpaceDE w:val="0"/>
              <w:autoSpaceDN w:val="0"/>
              <w:bidi w:val="0"/>
              <w:adjustRightInd w:val="0"/>
              <w:snapToGrid w:val="0"/>
              <w:spacing w:line="320" w:lineRule="exact"/>
              <w:ind w:firstLine="436" w:firstLineChars="200"/>
              <w:jc w:val="left"/>
              <w:textAlignment w:val="baseline"/>
              <w:rPr>
                <w:rFonts w:hint="default" w:ascii="Times New Roman" w:hAnsi="Times New Roman" w:eastAsia="仿宋_GB2312" w:cs="Times New Roman"/>
                <w:color w:val="000000" w:themeColor="text1"/>
                <w:spacing w:val="-11"/>
                <w:kern w:val="0"/>
                <w:sz w:val="24"/>
                <w:szCs w:val="24"/>
                <w14:textFill>
                  <w14:solidFill>
                    <w14:schemeClr w14:val="tx1"/>
                  </w14:solidFill>
                </w14:textFill>
              </w:rPr>
            </w:pPr>
            <w:r>
              <w:rPr>
                <w:rFonts w:hint="default" w:ascii="Times New Roman" w:hAnsi="Times New Roman" w:eastAsia="仿宋_GB2312" w:cs="Times New Roman"/>
                <w:color w:val="000000" w:themeColor="text1"/>
                <w:spacing w:val="-11"/>
                <w:kern w:val="0"/>
                <w:sz w:val="24"/>
                <w:szCs w:val="24"/>
                <w14:textFill>
                  <w14:solidFill>
                    <w14:schemeClr w14:val="tx1"/>
                  </w14:solidFill>
                </w14:textFill>
              </w:rPr>
              <w:t>申请方应提供详尽的活动应急预案。</w:t>
            </w:r>
          </w:p>
          <w:p w14:paraId="0F340732">
            <w:pPr>
              <w:pStyle w:val="4"/>
              <w:keepNext w:val="0"/>
              <w:keepLines w:val="0"/>
              <w:pageBreakBefore w:val="0"/>
              <w:widowControl/>
              <w:kinsoku/>
              <w:wordWrap/>
              <w:overflowPunct/>
              <w:topLinePunct w:val="0"/>
              <w:autoSpaceDE w:val="0"/>
              <w:autoSpaceDN w:val="0"/>
              <w:bidi w:val="0"/>
              <w:adjustRightInd w:val="0"/>
              <w:snapToGrid w:val="0"/>
              <w:spacing w:line="320" w:lineRule="exact"/>
              <w:ind w:firstLine="436" w:firstLineChars="200"/>
              <w:textAlignment w:val="baseline"/>
              <w:rPr>
                <w:rFonts w:hint="default" w:ascii="Times New Roman" w:hAnsi="Times New Roman" w:eastAsia="仿宋_GB2312" w:cs="Times New Roman"/>
                <w:color w:val="000000" w:themeColor="text1"/>
                <w:spacing w:val="-11"/>
                <w:kern w:val="0"/>
                <w:sz w:val="24"/>
                <w:szCs w:val="24"/>
                <w14:textFill>
                  <w14:solidFill>
                    <w14:schemeClr w14:val="tx1"/>
                  </w14:solidFill>
                </w14:textFill>
              </w:rPr>
            </w:pPr>
            <w:r>
              <w:rPr>
                <w:rFonts w:hint="default" w:ascii="Times New Roman" w:hAnsi="Times New Roman" w:eastAsia="仿宋_GB2312" w:cs="Times New Roman"/>
                <w:color w:val="000000" w:themeColor="text1"/>
                <w:spacing w:val="-11"/>
                <w:kern w:val="0"/>
                <w:sz w:val="24"/>
                <w:szCs w:val="24"/>
                <w:lang w:val="en-US" w:eastAsia="zh-CN"/>
                <w14:textFill>
                  <w14:solidFill>
                    <w14:schemeClr w14:val="tx1"/>
                  </w14:solidFill>
                </w14:textFill>
              </w:rPr>
              <w:t>1.</w:t>
            </w:r>
            <w:r>
              <w:rPr>
                <w:rFonts w:hint="default" w:ascii="Times New Roman" w:hAnsi="Times New Roman" w:eastAsia="仿宋_GB2312" w:cs="Times New Roman"/>
                <w:color w:val="000000" w:themeColor="text1"/>
                <w:spacing w:val="-11"/>
                <w:kern w:val="0"/>
                <w:sz w:val="24"/>
                <w:szCs w:val="24"/>
                <w14:textFill>
                  <w14:solidFill>
                    <w14:schemeClr w14:val="tx1"/>
                  </w14:solidFill>
                </w14:textFill>
              </w:rPr>
              <w:t>申请方提供活动应急预案   +2分</w:t>
            </w:r>
          </w:p>
          <w:p w14:paraId="5FF46FB3">
            <w:pPr>
              <w:pStyle w:val="4"/>
              <w:keepNext w:val="0"/>
              <w:keepLines w:val="0"/>
              <w:pageBreakBefore w:val="0"/>
              <w:widowControl/>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t>2.</w:t>
            </w:r>
            <w:r>
              <w:rPr>
                <w:rFonts w:hint="default" w:ascii="Times New Roman" w:hAnsi="Times New Roman" w:eastAsia="仿宋_GB2312" w:cs="Times New Roman"/>
                <w:color w:val="000000" w:themeColor="text1"/>
                <w:kern w:val="0"/>
                <w:sz w:val="24"/>
                <w:szCs w:val="24"/>
                <w14:textFill>
                  <w14:solidFill>
                    <w14:schemeClr w14:val="tx1"/>
                  </w14:solidFill>
                </w14:textFill>
              </w:rPr>
              <w:t>申请方活动预案程序明确，有可操作性  +3分</w:t>
            </w:r>
          </w:p>
          <w:p w14:paraId="38747E94">
            <w:pPr>
              <w:pStyle w:val="4"/>
              <w:keepNext w:val="0"/>
              <w:keepLines w:val="0"/>
              <w:pageBreakBefore w:val="0"/>
              <w:widowControl/>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t>3.</w:t>
            </w:r>
            <w:r>
              <w:rPr>
                <w:rFonts w:hint="default" w:ascii="Times New Roman" w:hAnsi="Times New Roman" w:eastAsia="仿宋_GB2312" w:cs="Times New Roman"/>
                <w:color w:val="000000" w:themeColor="text1"/>
                <w:kern w:val="0"/>
                <w:sz w:val="24"/>
                <w:szCs w:val="24"/>
                <w14:textFill>
                  <w14:solidFill>
                    <w14:schemeClr w14:val="tx1"/>
                  </w14:solidFill>
                </w14:textFill>
              </w:rPr>
              <w:t>申请方应急预案内有各类突发事件应急方法：</w:t>
            </w:r>
          </w:p>
          <w:p w14:paraId="689B4858">
            <w:pPr>
              <w:pStyle w:val="4"/>
              <w:keepNext w:val="0"/>
              <w:keepLines w:val="0"/>
              <w:pageBreakBefore w:val="0"/>
              <w:widowControl/>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酒店入住    +1分</w:t>
            </w:r>
          </w:p>
          <w:p w14:paraId="40E90F8C">
            <w:pPr>
              <w:pStyle w:val="4"/>
              <w:keepNext w:val="0"/>
              <w:keepLines w:val="0"/>
              <w:pageBreakBefore w:val="0"/>
              <w:widowControl/>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活动过程    +1分</w:t>
            </w:r>
          </w:p>
          <w:p w14:paraId="2C4E2092">
            <w:pPr>
              <w:pStyle w:val="4"/>
              <w:keepNext w:val="0"/>
              <w:keepLines w:val="0"/>
              <w:pageBreakBefore w:val="0"/>
              <w:widowControl/>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餐厅及食品  +1分</w:t>
            </w:r>
          </w:p>
          <w:p w14:paraId="1DDA411F">
            <w:pPr>
              <w:pStyle w:val="4"/>
              <w:keepNext w:val="0"/>
              <w:keepLines w:val="0"/>
              <w:pageBreakBefore w:val="0"/>
              <w:widowControl/>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乘车过程中  +1分</w:t>
            </w:r>
          </w:p>
          <w:p w14:paraId="3829FA03">
            <w:pPr>
              <w:pStyle w:val="4"/>
              <w:keepNext w:val="0"/>
              <w:keepLines w:val="0"/>
              <w:pageBreakBefore w:val="0"/>
              <w:widowControl/>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意外突发情况   +1分</w:t>
            </w:r>
          </w:p>
        </w:tc>
        <w:tc>
          <w:tcPr>
            <w:tcW w:w="3577" w:type="dxa"/>
            <w:tcBorders>
              <w:top w:val="single" w:color="auto" w:sz="4" w:space="0"/>
              <w:left w:val="single" w:color="auto" w:sz="4" w:space="0"/>
              <w:bottom w:val="single" w:color="auto" w:sz="4" w:space="0"/>
              <w:right w:val="single" w:color="auto" w:sz="4" w:space="0"/>
            </w:tcBorders>
          </w:tcPr>
          <w:p w14:paraId="773658DA">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jc w:val="left"/>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依据《国家旅游局研学旅行服务规范》中：</w:t>
            </w:r>
          </w:p>
          <w:p w14:paraId="12CA4847">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jc w:val="left"/>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9.4应急预案：主办方、承办方及供应方应制定和完善包括：地震、火灾、食品卫生、治安事件、设施设备突发故障等在内的各项突发事件应急预案，并定期组织演练。</w:t>
            </w:r>
          </w:p>
        </w:tc>
      </w:tr>
      <w:tr w14:paraId="619AB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7" w:hRule="atLeast"/>
        </w:trPr>
        <w:tc>
          <w:tcPr>
            <w:tcW w:w="1195" w:type="dxa"/>
            <w:tcBorders>
              <w:top w:val="single" w:color="auto" w:sz="4" w:space="0"/>
              <w:left w:val="single" w:color="auto" w:sz="4" w:space="0"/>
              <w:bottom w:val="single" w:color="auto" w:sz="4" w:space="0"/>
              <w:right w:val="single" w:color="auto" w:sz="4" w:space="0"/>
            </w:tcBorders>
            <w:shd w:val="clear" w:color="auto" w:fill="auto"/>
            <w:vAlign w:val="center"/>
          </w:tcPr>
          <w:p w14:paraId="35B0761C">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jc w:val="left"/>
              <w:textAlignment w:val="baseline"/>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sz w:val="24"/>
                <w:szCs w:val="24"/>
                <w:lang w:bidi="ar"/>
              </w:rPr>
              <w:t>服务案例</w:t>
            </w:r>
          </w:p>
        </w:tc>
        <w:tc>
          <w:tcPr>
            <w:tcW w:w="877" w:type="dxa"/>
            <w:tcBorders>
              <w:top w:val="single" w:color="auto" w:sz="4" w:space="0"/>
              <w:left w:val="single" w:color="auto" w:sz="4" w:space="0"/>
              <w:bottom w:val="single" w:color="auto" w:sz="4" w:space="0"/>
              <w:right w:val="single" w:color="auto" w:sz="4" w:space="0"/>
            </w:tcBorders>
            <w:shd w:val="clear" w:color="auto" w:fill="auto"/>
            <w:vAlign w:val="center"/>
          </w:tcPr>
          <w:p w14:paraId="45C6EDAB">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jc w:val="center"/>
              <w:textAlignment w:val="baseline"/>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pacing w:val="-6"/>
                <w:sz w:val="24"/>
                <w:szCs w:val="24"/>
                <w:lang w:val="en-US" w:eastAsia="zh-CN" w:bidi="ar"/>
              </w:rPr>
              <w:t>5</w:t>
            </w:r>
            <w:r>
              <w:rPr>
                <w:rFonts w:hint="eastAsia" w:ascii="Times New Roman" w:hAnsi="Times New Roman" w:eastAsia="仿宋_GB2312" w:cs="Times New Roman"/>
                <w:color w:val="000000"/>
                <w:spacing w:val="-6"/>
                <w:sz w:val="24"/>
                <w:szCs w:val="24"/>
                <w:lang w:val="en-US" w:eastAsia="zh-CN" w:bidi="ar"/>
              </w:rPr>
              <w:t>—</w:t>
            </w:r>
            <w:r>
              <w:rPr>
                <w:rFonts w:hint="default" w:ascii="Times New Roman" w:hAnsi="Times New Roman" w:eastAsia="仿宋_GB2312" w:cs="Times New Roman"/>
                <w:color w:val="000000"/>
                <w:spacing w:val="-6"/>
                <w:sz w:val="24"/>
                <w:szCs w:val="24"/>
                <w:lang w:bidi="ar"/>
              </w:rPr>
              <w:t>10分</w:t>
            </w:r>
          </w:p>
        </w:tc>
        <w:tc>
          <w:tcPr>
            <w:tcW w:w="3531" w:type="dxa"/>
            <w:tcBorders>
              <w:top w:val="single" w:color="auto" w:sz="4" w:space="0"/>
              <w:left w:val="single" w:color="auto" w:sz="4" w:space="0"/>
              <w:bottom w:val="single" w:color="auto" w:sz="4" w:space="0"/>
              <w:right w:val="single" w:color="auto" w:sz="4" w:space="0"/>
            </w:tcBorders>
            <w:shd w:val="clear" w:color="auto" w:fill="auto"/>
            <w:vAlign w:val="center"/>
          </w:tcPr>
          <w:p w14:paraId="76E5F301">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jc w:val="left"/>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供应商应针对项目需求，提供详尽的服务，并提供成功经验及合作学校的反馈。</w:t>
            </w:r>
          </w:p>
          <w:p w14:paraId="46055CAD">
            <w:pPr>
              <w:pStyle w:val="4"/>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rPr>
              <w:t>申请方有2年以上研学活动</w:t>
            </w:r>
            <w:r>
              <w:rPr>
                <w:rFonts w:hint="eastAsia" w:ascii="Times New Roman" w:hAnsi="Times New Roman" w:eastAsia="仿宋_GB2312" w:cs="Times New Roman"/>
                <w:sz w:val="24"/>
                <w:szCs w:val="24"/>
                <w:lang w:eastAsia="zh-CN"/>
              </w:rPr>
              <w:t>组织经历</w:t>
            </w:r>
            <w:r>
              <w:rPr>
                <w:rFonts w:hint="default" w:ascii="Times New Roman" w:hAnsi="Times New Roman" w:eastAsia="仿宋_GB2312" w:cs="Times New Roman"/>
                <w:sz w:val="24"/>
                <w:szCs w:val="24"/>
              </w:rPr>
              <w:t xml:space="preserve">  +10分</w:t>
            </w:r>
          </w:p>
          <w:p w14:paraId="31590E0D">
            <w:pPr>
              <w:pStyle w:val="4"/>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rPr>
              <w:t>申请方有2年以下研学活动组织经历  +5分</w:t>
            </w:r>
          </w:p>
        </w:tc>
        <w:tc>
          <w:tcPr>
            <w:tcW w:w="3577" w:type="dxa"/>
            <w:tcBorders>
              <w:top w:val="single" w:color="auto" w:sz="4" w:space="0"/>
              <w:left w:val="single" w:color="auto" w:sz="4" w:space="0"/>
              <w:bottom w:val="single" w:color="auto" w:sz="4" w:space="0"/>
              <w:right w:val="single" w:color="auto" w:sz="4" w:space="0"/>
            </w:tcBorders>
          </w:tcPr>
          <w:p w14:paraId="3EF21618">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jc w:val="left"/>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p>
          <w:p w14:paraId="6871384A">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jc w:val="left"/>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14:textFill>
                  <w14:solidFill>
                    <w14:schemeClr w14:val="tx1"/>
                  </w14:solidFill>
                </w14:textFill>
              </w:rPr>
              <w:t>依据《国家旅游局研学旅行服务规范》中：</w:t>
            </w:r>
          </w:p>
          <w:p w14:paraId="02F2AC7B">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jc w:val="left"/>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sz w:val="24"/>
                <w:szCs w:val="24"/>
              </w:rPr>
              <w:t>5.2.4 应设立研学旅行的部门或专职人员，宜有承接100人以上中小学生旅游团队的经验。</w:t>
            </w:r>
          </w:p>
        </w:tc>
      </w:tr>
      <w:tr w14:paraId="2A117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trPr>
        <w:tc>
          <w:tcPr>
            <w:tcW w:w="1195" w:type="dxa"/>
            <w:tcBorders>
              <w:top w:val="single" w:color="auto" w:sz="4" w:space="0"/>
              <w:left w:val="single" w:color="auto" w:sz="4" w:space="0"/>
              <w:bottom w:val="single" w:color="auto" w:sz="4" w:space="0"/>
              <w:right w:val="single" w:color="auto" w:sz="4" w:space="0"/>
            </w:tcBorders>
            <w:shd w:val="clear" w:color="auto" w:fill="auto"/>
            <w:vAlign w:val="center"/>
          </w:tcPr>
          <w:p w14:paraId="638DDAFE">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jc w:val="center"/>
              <w:textAlignment w:val="baseline"/>
              <w:rPr>
                <w:rFonts w:hint="default" w:ascii="Times New Roman" w:hAnsi="Times New Roman" w:eastAsia="黑体" w:cs="Times New Roman"/>
                <w:kern w:val="0"/>
                <w:sz w:val="24"/>
                <w:szCs w:val="24"/>
              </w:rPr>
            </w:pPr>
            <w:r>
              <w:rPr>
                <w:rFonts w:hint="default" w:ascii="Times New Roman" w:hAnsi="Times New Roman" w:eastAsia="黑体" w:cs="Times New Roman"/>
                <w:kern w:val="0"/>
                <w:sz w:val="24"/>
                <w:szCs w:val="24"/>
                <w:lang w:bidi="ar"/>
              </w:rPr>
              <w:t>企业状况</w:t>
            </w:r>
          </w:p>
        </w:tc>
        <w:tc>
          <w:tcPr>
            <w:tcW w:w="877" w:type="dxa"/>
            <w:tcBorders>
              <w:top w:val="single" w:color="auto" w:sz="4" w:space="0"/>
              <w:left w:val="single" w:color="auto" w:sz="4" w:space="0"/>
              <w:bottom w:val="single" w:color="auto" w:sz="4" w:space="0"/>
              <w:right w:val="single" w:color="auto" w:sz="4" w:space="0"/>
            </w:tcBorders>
            <w:shd w:val="clear" w:color="auto" w:fill="auto"/>
            <w:vAlign w:val="center"/>
          </w:tcPr>
          <w:p w14:paraId="452627C7">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jc w:val="center"/>
              <w:textAlignment w:val="baseline"/>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bidi="ar"/>
              </w:rPr>
              <w:t>10分</w:t>
            </w:r>
          </w:p>
        </w:tc>
        <w:tc>
          <w:tcPr>
            <w:tcW w:w="3531" w:type="dxa"/>
            <w:tcBorders>
              <w:top w:val="single" w:color="auto" w:sz="4" w:space="0"/>
              <w:left w:val="single" w:color="auto" w:sz="4" w:space="0"/>
              <w:bottom w:val="single" w:color="auto" w:sz="4" w:space="0"/>
              <w:right w:val="single" w:color="auto" w:sz="4" w:space="0"/>
            </w:tcBorders>
            <w:shd w:val="clear" w:color="auto" w:fill="auto"/>
            <w:vAlign w:val="center"/>
          </w:tcPr>
          <w:p w14:paraId="3F85FD69">
            <w:pPr>
              <w:pStyle w:val="3"/>
              <w:keepNext w:val="0"/>
              <w:keepLines w:val="0"/>
              <w:pageBreakBefore w:val="0"/>
              <w:widowControl w:val="0"/>
              <w:kinsoku/>
              <w:wordWrap/>
              <w:overflowPunct/>
              <w:topLinePunct w:val="0"/>
              <w:autoSpaceDE w:val="0"/>
              <w:autoSpaceDN w:val="0"/>
              <w:bidi w:val="0"/>
              <w:adjustRightInd w:val="0"/>
              <w:snapToGrid w:val="0"/>
              <w:spacing w:before="0" w:beforeAutospacing="0" w:after="0" w:afterAutospacing="0" w:line="320" w:lineRule="exact"/>
              <w:ind w:firstLine="480" w:firstLineChars="200"/>
              <w:jc w:val="left"/>
              <w:textAlignment w:val="baseline"/>
              <w:rPr>
                <w:rFonts w:hint="default" w:ascii="Times New Roman" w:hAnsi="Times New Roman" w:eastAsia="仿宋_GB2312" w:cs="Times New Roman"/>
                <w:b w:val="0"/>
                <w:bCs w:val="0"/>
                <w:sz w:val="24"/>
                <w:szCs w:val="24"/>
                <w:lang w:bidi="ar"/>
              </w:rPr>
            </w:pPr>
            <w:r>
              <w:rPr>
                <w:rFonts w:hint="default" w:ascii="Times New Roman" w:hAnsi="Times New Roman" w:eastAsia="仿宋_GB2312" w:cs="Times New Roman"/>
                <w:b w:val="0"/>
                <w:bCs w:val="0"/>
                <w:kern w:val="0"/>
                <w:sz w:val="24"/>
                <w:szCs w:val="24"/>
                <w:lang w:bidi="ar"/>
              </w:rPr>
              <w:t>申请方企业状况包括但不限于财务状况、经营状况，是否存在不良经营记录等情况</w:t>
            </w:r>
          </w:p>
          <w:p w14:paraId="4BC4C1B3">
            <w:pPr>
              <w:pStyle w:val="3"/>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0" w:afterAutospacing="0" w:line="320" w:lineRule="exact"/>
              <w:ind w:firstLine="480" w:firstLineChars="200"/>
              <w:jc w:val="left"/>
              <w:textAlignment w:val="baseline"/>
              <w:rPr>
                <w:rFonts w:hint="default" w:ascii="Times New Roman" w:hAnsi="Times New Roman" w:eastAsia="仿宋_GB2312" w:cs="Times New Roman"/>
                <w:b w:val="0"/>
                <w:bCs w:val="0"/>
                <w:sz w:val="24"/>
                <w:szCs w:val="24"/>
                <w:lang w:bidi="ar"/>
              </w:rPr>
            </w:pPr>
            <w:r>
              <w:rPr>
                <w:rFonts w:hint="default" w:ascii="Times New Roman" w:hAnsi="Times New Roman" w:eastAsia="仿宋_GB2312" w:cs="Times New Roman"/>
                <w:b w:val="0"/>
                <w:bCs w:val="0"/>
                <w:sz w:val="24"/>
                <w:szCs w:val="24"/>
                <w:lang w:val="en-US" w:eastAsia="zh-CN" w:bidi="ar"/>
              </w:rPr>
              <w:t>1.</w:t>
            </w:r>
            <w:r>
              <w:rPr>
                <w:rFonts w:hint="default" w:ascii="Times New Roman" w:hAnsi="Times New Roman" w:eastAsia="仿宋_GB2312" w:cs="Times New Roman"/>
                <w:b w:val="0"/>
                <w:bCs w:val="0"/>
                <w:sz w:val="24"/>
                <w:szCs w:val="24"/>
                <w:lang w:bidi="ar"/>
              </w:rPr>
              <w:t>有效的企业法人营业执照副本复印件或事业单位法定代表人证书复印件、企事业组织机构代码证复印件及税务登记证复印件  +5分</w:t>
            </w:r>
          </w:p>
          <w:p w14:paraId="057CFF9A">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textAlignment w:val="baseline"/>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val="en-US" w:eastAsia="zh-CN" w:bidi="ar"/>
              </w:rPr>
              <w:t>2.</w:t>
            </w:r>
            <w:r>
              <w:rPr>
                <w:rFonts w:hint="default" w:ascii="Times New Roman" w:hAnsi="Times New Roman" w:eastAsia="仿宋_GB2312" w:cs="Times New Roman"/>
                <w:sz w:val="24"/>
                <w:szCs w:val="24"/>
                <w:lang w:bidi="ar"/>
              </w:rPr>
              <w:t>提供“信用中国”信用查询记录+3分</w:t>
            </w:r>
          </w:p>
          <w:p w14:paraId="1B4C7FB0">
            <w:pPr>
              <w:pStyle w:val="4"/>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textAlignment w:val="baseline"/>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val="en-US" w:eastAsia="zh-CN" w:bidi="ar"/>
              </w:rPr>
              <w:t>3.</w:t>
            </w:r>
            <w:r>
              <w:rPr>
                <w:rFonts w:hint="default" w:ascii="Times New Roman" w:hAnsi="Times New Roman" w:eastAsia="仿宋_GB2312" w:cs="Times New Roman"/>
                <w:sz w:val="24"/>
                <w:szCs w:val="24"/>
                <w:lang w:bidi="ar"/>
              </w:rPr>
              <w:t>入选乌海地区诚信企业红名单+2分</w:t>
            </w:r>
          </w:p>
          <w:p w14:paraId="2CE92F1E">
            <w:pPr>
              <w:pStyle w:val="4"/>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textAlignment w:val="baseline"/>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bidi="ar"/>
              </w:rPr>
              <w:t>备注：非乌海地区企业可提供当地信用评级证明</w:t>
            </w:r>
          </w:p>
        </w:tc>
        <w:tc>
          <w:tcPr>
            <w:tcW w:w="3577" w:type="dxa"/>
            <w:tcBorders>
              <w:top w:val="single" w:color="auto" w:sz="4" w:space="0"/>
              <w:left w:val="single" w:color="auto" w:sz="4" w:space="0"/>
              <w:bottom w:val="single" w:color="auto" w:sz="4" w:space="0"/>
              <w:right w:val="single" w:color="auto" w:sz="4" w:space="0"/>
            </w:tcBorders>
          </w:tcPr>
          <w:p w14:paraId="66A5BFC3">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jc w:val="left"/>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依据《国家旅游局研学旅行服务规范》中：</w:t>
            </w:r>
          </w:p>
          <w:p w14:paraId="6BA4EA36">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jc w:val="left"/>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5.2.1 应为依法注册的旅行社。 </w:t>
            </w:r>
          </w:p>
          <w:p w14:paraId="522455D5">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jc w:val="left"/>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5.2.2 符合 LB/T 004 和 LB/T 008 的要求，宜具有AA及以上等级，并符合GB/T31380的要求。 </w:t>
            </w:r>
          </w:p>
          <w:p w14:paraId="4ED4E5AD">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jc w:val="left"/>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5.2.3</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 xml:space="preserve">连续三年内无重大质量投诉、不良诚信记录、经济纠纷及重大安全责任事故。 </w:t>
            </w:r>
          </w:p>
        </w:tc>
      </w:tr>
      <w:tr w14:paraId="74FBC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1195" w:type="dxa"/>
            <w:tcBorders>
              <w:top w:val="single" w:color="auto" w:sz="4" w:space="0"/>
              <w:left w:val="single" w:color="auto" w:sz="4" w:space="0"/>
              <w:bottom w:val="single" w:color="auto" w:sz="4" w:space="0"/>
              <w:right w:val="single" w:color="auto" w:sz="4" w:space="0"/>
            </w:tcBorders>
            <w:shd w:val="clear" w:color="auto" w:fill="auto"/>
            <w:vAlign w:val="center"/>
          </w:tcPr>
          <w:p w14:paraId="6585B58B">
            <w:pPr>
              <w:keepNext w:val="0"/>
              <w:keepLines w:val="0"/>
              <w:pageBreakBefore w:val="0"/>
              <w:widowControl w:val="0"/>
              <w:kinsoku/>
              <w:wordWrap/>
              <w:overflowPunct/>
              <w:topLinePunct w:val="0"/>
              <w:autoSpaceDE w:val="0"/>
              <w:autoSpaceDN w:val="0"/>
              <w:bidi w:val="0"/>
              <w:adjustRightInd w:val="0"/>
              <w:snapToGrid w:val="0"/>
              <w:spacing w:line="320" w:lineRule="exact"/>
              <w:ind w:left="113"/>
              <w:jc w:val="center"/>
              <w:textAlignment w:val="baseline"/>
              <w:rPr>
                <w:rFonts w:hint="default" w:ascii="Times New Roman" w:hAnsi="Times New Roman" w:eastAsia="黑体" w:cs="Times New Roman"/>
                <w:color w:val="000000"/>
                <w:kern w:val="0"/>
                <w:sz w:val="24"/>
                <w:szCs w:val="24"/>
                <w:lang w:bidi="ar"/>
              </w:rPr>
            </w:pPr>
            <w:r>
              <w:rPr>
                <w:rFonts w:hint="default" w:ascii="Times New Roman" w:hAnsi="Times New Roman" w:eastAsia="黑体" w:cs="Times New Roman"/>
                <w:color w:val="000000"/>
                <w:kern w:val="0"/>
                <w:sz w:val="24"/>
                <w:szCs w:val="24"/>
                <w:lang w:bidi="ar"/>
              </w:rPr>
              <w:t>师资力量</w:t>
            </w:r>
          </w:p>
        </w:tc>
        <w:tc>
          <w:tcPr>
            <w:tcW w:w="877" w:type="dxa"/>
            <w:tcBorders>
              <w:top w:val="single" w:color="auto" w:sz="4" w:space="0"/>
              <w:left w:val="single" w:color="auto" w:sz="4" w:space="0"/>
              <w:bottom w:val="single" w:color="auto" w:sz="4" w:space="0"/>
              <w:right w:val="single" w:color="auto" w:sz="4" w:space="0"/>
            </w:tcBorders>
            <w:shd w:val="clear" w:color="auto" w:fill="auto"/>
            <w:vAlign w:val="center"/>
          </w:tcPr>
          <w:p w14:paraId="69BF94D5">
            <w:pPr>
              <w:keepNext w:val="0"/>
              <w:keepLines w:val="0"/>
              <w:pageBreakBefore w:val="0"/>
              <w:widowControl w:val="0"/>
              <w:kinsoku/>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bidi="ar"/>
              </w:rPr>
              <w:t>10分</w:t>
            </w:r>
          </w:p>
        </w:tc>
        <w:tc>
          <w:tcPr>
            <w:tcW w:w="3531" w:type="dxa"/>
            <w:tcBorders>
              <w:top w:val="single" w:color="auto" w:sz="4" w:space="0"/>
              <w:left w:val="single" w:color="auto" w:sz="4" w:space="0"/>
              <w:bottom w:val="single" w:color="auto" w:sz="4" w:space="0"/>
              <w:right w:val="single" w:color="auto" w:sz="4" w:space="0"/>
            </w:tcBorders>
            <w:shd w:val="clear" w:color="auto" w:fill="auto"/>
            <w:vAlign w:val="center"/>
          </w:tcPr>
          <w:p w14:paraId="1A7C3C09">
            <w:pPr>
              <w:keepNext w:val="0"/>
              <w:keepLines w:val="0"/>
              <w:pageBreakBefore w:val="0"/>
              <w:widowControl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val="en-US" w:eastAsia="zh-CN" w:bidi="ar"/>
              </w:rPr>
              <w:t>1.</w:t>
            </w:r>
            <w:r>
              <w:rPr>
                <w:rFonts w:hint="default" w:ascii="Times New Roman" w:hAnsi="Times New Roman" w:eastAsia="仿宋_GB2312" w:cs="Times New Roman"/>
                <w:sz w:val="24"/>
                <w:szCs w:val="24"/>
                <w:lang w:bidi="ar"/>
              </w:rPr>
              <w:t>申请方是否有专业课程研发团队  +3分</w:t>
            </w:r>
          </w:p>
          <w:p w14:paraId="19E076AF">
            <w:pPr>
              <w:keepNext w:val="0"/>
              <w:keepLines w:val="0"/>
              <w:pageBreakBefore w:val="0"/>
              <w:widowControl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val="en-US" w:eastAsia="zh-CN" w:bidi="ar"/>
              </w:rPr>
              <w:t>2.</w:t>
            </w:r>
            <w:r>
              <w:rPr>
                <w:rFonts w:hint="default" w:ascii="Times New Roman" w:hAnsi="Times New Roman" w:eastAsia="仿宋_GB2312" w:cs="Times New Roman"/>
                <w:sz w:val="24"/>
                <w:szCs w:val="24"/>
                <w:lang w:bidi="ar"/>
              </w:rPr>
              <w:t>申请方是否定期对研学团队开展专业培训  +</w:t>
            </w:r>
            <w:r>
              <w:rPr>
                <w:rFonts w:hint="eastAsia" w:ascii="Times New Roman" w:hAnsi="Times New Roman" w:eastAsia="仿宋_GB2312" w:cs="Times New Roman"/>
                <w:sz w:val="24"/>
                <w:szCs w:val="24"/>
                <w:lang w:val="en-US" w:eastAsia="zh-CN" w:bidi="ar"/>
              </w:rPr>
              <w:t>3</w:t>
            </w:r>
            <w:r>
              <w:rPr>
                <w:rFonts w:hint="default" w:ascii="Times New Roman" w:hAnsi="Times New Roman" w:eastAsia="仿宋_GB2312" w:cs="Times New Roman"/>
                <w:sz w:val="24"/>
                <w:szCs w:val="24"/>
                <w:lang w:bidi="ar"/>
              </w:rPr>
              <w:t>分</w:t>
            </w:r>
          </w:p>
          <w:p w14:paraId="67E072B3">
            <w:pPr>
              <w:pStyle w:val="4"/>
              <w:keepNext w:val="0"/>
              <w:keepLines w:val="0"/>
              <w:pageBreakBefore w:val="0"/>
              <w:widowControl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rPr>
              <w:t>是否有专职工作人员作为学生团队辅导员  +2分</w:t>
            </w:r>
          </w:p>
          <w:p w14:paraId="7B21B5D6">
            <w:pPr>
              <w:pStyle w:val="4"/>
              <w:keepNext w:val="0"/>
              <w:keepLines w:val="0"/>
              <w:pageBreakBefore w:val="0"/>
              <w:widowControl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rPr>
              <w:t>专职导师及团队辅导员学历要求大专及以上  +2分</w:t>
            </w:r>
          </w:p>
        </w:tc>
        <w:tc>
          <w:tcPr>
            <w:tcW w:w="3577" w:type="dxa"/>
            <w:tcBorders>
              <w:top w:val="single" w:color="auto" w:sz="4" w:space="0"/>
              <w:left w:val="single" w:color="auto" w:sz="4" w:space="0"/>
              <w:bottom w:val="single" w:color="auto" w:sz="4" w:space="0"/>
              <w:right w:val="single" w:color="auto" w:sz="4" w:space="0"/>
            </w:tcBorders>
          </w:tcPr>
          <w:p w14:paraId="7B2FC6EE">
            <w:pPr>
              <w:keepNext w:val="0"/>
              <w:keepLines w:val="0"/>
              <w:pageBreakBefore w:val="0"/>
              <w:widowControl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bidi="ar"/>
              </w:rPr>
              <w:t>7.2产品设计</w:t>
            </w:r>
          </w:p>
          <w:p w14:paraId="23BDC3A5">
            <w:pPr>
              <w:keepNext w:val="0"/>
              <w:keepLines w:val="0"/>
              <w:pageBreakBefore w:val="0"/>
              <w:widowControl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bidi="ar"/>
              </w:rPr>
              <w:t>承办方应根据主办方需求，针对不同学段特点和教育目标，设计研学旅行产品。</w:t>
            </w:r>
          </w:p>
        </w:tc>
      </w:tr>
      <w:tr w14:paraId="1E9E7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207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945D388">
            <w:pPr>
              <w:keepNext w:val="0"/>
              <w:keepLines w:val="0"/>
              <w:pageBreakBefore w:val="0"/>
              <w:widowControl w:val="0"/>
              <w:kinsoku/>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仿宋_GB2312" w:cs="Times New Roman"/>
                <w:sz w:val="24"/>
                <w:szCs w:val="24"/>
                <w:lang w:bidi="ar"/>
              </w:rPr>
            </w:pPr>
            <w:r>
              <w:rPr>
                <w:rFonts w:hint="default" w:ascii="Times New Roman" w:hAnsi="Times New Roman" w:eastAsia="黑体" w:cs="Times New Roman"/>
                <w:color w:val="000000"/>
                <w:kern w:val="0"/>
                <w:sz w:val="24"/>
                <w:szCs w:val="24"/>
                <w:lang w:bidi="ar"/>
              </w:rPr>
              <w:t>备注</w:t>
            </w:r>
          </w:p>
        </w:tc>
        <w:tc>
          <w:tcPr>
            <w:tcW w:w="3531" w:type="dxa"/>
            <w:tcBorders>
              <w:top w:val="single" w:color="auto" w:sz="4" w:space="0"/>
              <w:left w:val="single" w:color="auto" w:sz="4" w:space="0"/>
              <w:bottom w:val="single" w:color="auto" w:sz="4" w:space="0"/>
              <w:right w:val="single" w:color="auto" w:sz="4" w:space="0"/>
            </w:tcBorders>
            <w:shd w:val="clear" w:color="auto" w:fill="auto"/>
            <w:vAlign w:val="center"/>
          </w:tcPr>
          <w:p w14:paraId="130B53E2">
            <w:pPr>
              <w:keepNext w:val="0"/>
              <w:keepLines w:val="0"/>
              <w:pageBreakBefore w:val="0"/>
              <w:widowControl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rPr>
              <w:t>如出现资质文件瞒报现象，取消参加评选资格</w:t>
            </w:r>
          </w:p>
          <w:p w14:paraId="5CA008B9">
            <w:pPr>
              <w:keepNext w:val="0"/>
              <w:keepLines w:val="0"/>
              <w:pageBreakBefore w:val="0"/>
              <w:widowControl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rPr>
              <w:t>近三年内出现安全事故，取消参加评选资格</w:t>
            </w:r>
          </w:p>
          <w:p w14:paraId="2F8C8D56">
            <w:pPr>
              <w:keepNext w:val="0"/>
              <w:keepLines w:val="0"/>
              <w:pageBreakBefore w:val="0"/>
              <w:widowControl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rPr>
              <w:t>未具有研学活动组织经历，取消参加评选资格</w:t>
            </w:r>
          </w:p>
          <w:p w14:paraId="3EC2ECED">
            <w:pPr>
              <w:keepNext w:val="0"/>
              <w:keepLines w:val="0"/>
              <w:pageBreakBefore w:val="0"/>
              <w:widowControl w:val="0"/>
              <w:kinsoku/>
              <w:wordWrap/>
              <w:overflowPunct/>
              <w:topLinePunct w:val="0"/>
              <w:autoSpaceDE w:val="0"/>
              <w:autoSpaceDN w:val="0"/>
              <w:bidi w:val="0"/>
              <w:adjustRightInd w:val="0"/>
              <w:snapToGrid w:val="0"/>
              <w:spacing w:line="320" w:lineRule="exact"/>
              <w:ind w:firstLine="480" w:firstLineChars="200"/>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rPr>
              <w:t>不具有旅行社资质，取消参加评选资格</w:t>
            </w:r>
          </w:p>
        </w:tc>
        <w:tc>
          <w:tcPr>
            <w:tcW w:w="3577" w:type="dxa"/>
            <w:tcBorders>
              <w:top w:val="single" w:color="auto" w:sz="4" w:space="0"/>
              <w:left w:val="single" w:color="auto" w:sz="4" w:space="0"/>
              <w:bottom w:val="single" w:color="auto" w:sz="4" w:space="0"/>
              <w:right w:val="single" w:color="auto" w:sz="4" w:space="0"/>
            </w:tcBorders>
          </w:tcPr>
          <w:p w14:paraId="31BA206C">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jc w:val="left"/>
              <w:textAlignment w:val="baseline"/>
              <w:rPr>
                <w:rFonts w:hint="default" w:ascii="Times New Roman" w:hAnsi="Times New Roman" w:eastAsia="仿宋_GB2312" w:cs="Times New Roman"/>
                <w:color w:val="000000" w:themeColor="text1"/>
                <w:kern w:val="0"/>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依据《国家旅游局研学旅行服务规范》中：</w:t>
            </w:r>
          </w:p>
          <w:p w14:paraId="4D436670">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jc w:val="left"/>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5.2.1应为依法注册的旅行社。 </w:t>
            </w:r>
          </w:p>
          <w:p w14:paraId="25EF1EA1">
            <w:pPr>
              <w:keepNext w:val="0"/>
              <w:keepLines w:val="0"/>
              <w:pageBreakBefore w:val="0"/>
              <w:widowControl w:val="0"/>
              <w:kinsoku/>
              <w:wordWrap/>
              <w:overflowPunct/>
              <w:topLinePunct w:val="0"/>
              <w:autoSpaceDE w:val="0"/>
              <w:autoSpaceDN w:val="0"/>
              <w:bidi w:val="0"/>
              <w:adjustRightInd w:val="0"/>
              <w:snapToGrid w:val="0"/>
              <w:spacing w:beforeAutospacing="0" w:afterAutospacing="0" w:line="320" w:lineRule="exact"/>
              <w:ind w:firstLine="480" w:firstLineChars="200"/>
              <w:jc w:val="left"/>
              <w:textAlignment w:val="baseline"/>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5.2.3 连续三年内无重大质量投诉、不良诚信记录、经济纠纷及重大安全责任事故。 </w:t>
            </w:r>
          </w:p>
        </w:tc>
      </w:tr>
    </w:tbl>
    <w:p w14:paraId="55922953">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default" w:ascii="Times New Roman" w:hAnsi="Times New Roman" w:eastAsia="仿宋_GB2312" w:cs="Times New Roman"/>
          <w:snapToGrid w:val="0"/>
          <w:color w:val="000000"/>
          <w:kern w:val="0"/>
          <w:sz w:val="24"/>
          <w:szCs w:val="24"/>
          <w:lang w:val="en-US" w:eastAsia="zh-CN" w:bidi="ar"/>
        </w:rPr>
      </w:pPr>
    </w:p>
    <w:p w14:paraId="5077BC5F">
      <w:bookmarkStart w:id="0" w:name="_GoBack"/>
      <w:bookmarkEnd w:id="0"/>
    </w:p>
    <w:sectPr>
      <w:pgSz w:w="11906" w:h="16838"/>
      <w:pgMar w:top="1984" w:right="1474" w:bottom="1871" w:left="158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123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table of authorities"/>
    <w:next w:val="1"/>
    <w:qFormat/>
    <w:uiPriority w:val="0"/>
    <w:pPr>
      <w:widowControl w:val="0"/>
      <w:ind w:left="420" w:leftChars="200"/>
      <w:jc w:val="both"/>
    </w:pPr>
    <w:rPr>
      <w:rFonts w:ascii="Times New Roman" w:hAnsi="Times New Roman" w:eastAsia="宋体" w:cs="Times New Roman"/>
      <w:kern w:val="2"/>
      <w:sz w:val="21"/>
      <w:szCs w:val="24"/>
      <w:lang w:val="en-US" w:eastAsia="zh-CN" w:bidi="ar-SA"/>
    </w:rPr>
  </w:style>
  <w:style w:type="paragraph" w:styleId="4">
    <w:name w:val="Body Text"/>
    <w:basedOn w:val="1"/>
    <w:semiHidden/>
    <w:qFormat/>
    <w:uiPriority w:val="0"/>
    <w:rPr>
      <w:rFonts w:ascii="仿宋" w:hAnsi="仿宋" w:eastAsia="仿宋" w:cs="仿宋"/>
      <w:sz w:val="31"/>
      <w:szCs w:val="31"/>
      <w:lang w:val="en-US" w:eastAsia="en-US" w:bidi="ar-SA"/>
    </w:rPr>
  </w:style>
  <w:style w:type="paragraph" w:styleId="5">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2025-11-06T08:39:15Z</dcterms:created>
  <dc:creator>Administrator</dc:creator>
  <cp:lastModifiedBy>WPS_1662792613</cp:lastModifiedBy>
  <dcterms:modified xsi:type="dcterms:W3CDTF">2025-11-06T08:39:38Z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eyJoZGlkIjoiZDQ5MDQzYjg5Zjk5YWI5NTZiODVjMjZiNWFlMmFkNGUiLCJ1c2VySWQiOiIxNDEyNTI4NzkyIn0=</vt:lpwstr>
  </property>
  <property fmtid="{D5CDD505-2E9C-101B-9397-08002B2CF9AE}" pid="4" name="ICV">
    <vt:lpwstr>88DCA08F4857423BB491AB60FA51F312_12</vt:lpwstr>
  </property>
</Properties>
</file>